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04793" w14:textId="152E59AF" w:rsidR="003E6792" w:rsidRPr="00CA7147" w:rsidRDefault="0038108D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bookmarkStart w:id="0" w:name="_GoBack"/>
      <w:bookmarkEnd w:id="0"/>
      <w:r w:rsidRPr="00CA7147">
        <w:rPr>
          <w:rFonts w:ascii="Arial" w:hAnsi="Arial" w:cs="Arial"/>
          <w:b/>
          <w:bCs/>
          <w:sz w:val="24"/>
          <w:szCs w:val="24"/>
          <w:lang w:val="pt-BR"/>
        </w:rPr>
        <w:t>Nota de Repúdio às Novas Diretrizes Curriculares Nacionais para Educação Profissional e Tecnológica (DCNEPT - Resolução CNE/CP n</w:t>
      </w:r>
      <w:r w:rsidRPr="00CA7147">
        <w:rPr>
          <w:rFonts w:ascii="Arial" w:hAnsi="Arial" w:cs="Arial"/>
          <w:b/>
          <w:bCs/>
          <w:sz w:val="24"/>
          <w:szCs w:val="24"/>
          <w:vertAlign w:val="superscript"/>
          <w:lang w:val="pt-BR"/>
        </w:rPr>
        <w:t>0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 xml:space="preserve"> 01-2021)</w:t>
      </w:r>
    </w:p>
    <w:p w14:paraId="5916A892" w14:textId="77777777" w:rsidR="003E6792" w:rsidRPr="00CA7147" w:rsidRDefault="003E6792">
      <w:pPr>
        <w:jc w:val="both"/>
        <w:rPr>
          <w:rFonts w:ascii="Arial" w:hAnsi="Arial" w:cs="Arial"/>
          <w:sz w:val="24"/>
          <w:szCs w:val="24"/>
          <w:lang w:val="pt-BR"/>
        </w:rPr>
      </w:pPr>
    </w:p>
    <w:p w14:paraId="554DBE88" w14:textId="77777777" w:rsidR="003E6792" w:rsidRPr="00CA7147" w:rsidRDefault="0038108D">
      <w:pPr>
        <w:jc w:val="both"/>
        <w:rPr>
          <w:rFonts w:ascii="Arial" w:hAnsi="Arial" w:cs="Arial"/>
          <w:sz w:val="24"/>
          <w:szCs w:val="24"/>
          <w:lang w:val="pt-BR"/>
        </w:rPr>
      </w:pPr>
      <w:r w:rsidRPr="00CA7147">
        <w:rPr>
          <w:rFonts w:ascii="Arial" w:hAnsi="Arial" w:cs="Arial"/>
          <w:sz w:val="24"/>
          <w:szCs w:val="24"/>
          <w:lang w:val="pt-BR"/>
        </w:rPr>
        <w:t>No dia 05 de janeiro de 2021, foi publicada pelo D.O.U a Resolução CNE/CP n</w:t>
      </w:r>
      <w:r w:rsidRPr="00CA7147">
        <w:rPr>
          <w:rFonts w:ascii="Arial" w:hAnsi="Arial" w:cs="Arial"/>
          <w:sz w:val="24"/>
          <w:szCs w:val="24"/>
          <w:vertAlign w:val="superscript"/>
          <w:lang w:val="pt-BR"/>
        </w:rPr>
        <w:t>0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01-2021 que dá nova forma e conteúdo às Diretrizes Curriculares Nacionais para Educação Profissional e Tecnológica (DCNEPT) aprovadas pelo Conselho Nacional de Educação. Esse conjunto de diretrizes vem completar o conjunto de instrumentos legais e normativos que instituem a contrarreforma do Ensino Médio, desencadeada a partir da MP n</w:t>
      </w:r>
      <w:r w:rsidRPr="00CA7147">
        <w:rPr>
          <w:rFonts w:ascii="Arial" w:hAnsi="Arial" w:cs="Arial"/>
          <w:sz w:val="24"/>
          <w:szCs w:val="24"/>
          <w:vertAlign w:val="superscript"/>
          <w:lang w:val="pt-BR"/>
        </w:rPr>
        <w:t xml:space="preserve">0 </w:t>
      </w:r>
      <w:r w:rsidRPr="00CA7147">
        <w:rPr>
          <w:rFonts w:ascii="Arial" w:hAnsi="Arial" w:cs="Arial"/>
          <w:sz w:val="24"/>
          <w:szCs w:val="24"/>
          <w:lang w:val="pt-BR"/>
        </w:rPr>
        <w:t>746/2016, convertida na Lei n</w:t>
      </w:r>
      <w:r w:rsidRPr="00CA7147">
        <w:rPr>
          <w:rFonts w:ascii="Arial" w:hAnsi="Arial" w:cs="Arial"/>
          <w:sz w:val="24"/>
          <w:szCs w:val="24"/>
          <w:vertAlign w:val="superscript"/>
          <w:lang w:val="pt-BR"/>
        </w:rPr>
        <w:t>0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13.415/2017. Ainda integram essa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contrarreforma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as Diretrizes Curriculares Nacionais para o Ensino Médio (DCNEM - Resolução CNE/CEB n</w:t>
      </w:r>
      <w:r w:rsidRPr="00CA7147">
        <w:rPr>
          <w:rFonts w:ascii="Arial" w:hAnsi="Arial" w:cs="Arial"/>
          <w:sz w:val="24"/>
          <w:szCs w:val="24"/>
          <w:vertAlign w:val="superscript"/>
          <w:lang w:val="pt-BR"/>
        </w:rPr>
        <w:t xml:space="preserve">0 </w:t>
      </w:r>
      <w:r w:rsidRPr="00CA7147">
        <w:rPr>
          <w:rFonts w:ascii="Arial" w:hAnsi="Arial" w:cs="Arial"/>
          <w:sz w:val="24"/>
          <w:szCs w:val="24"/>
          <w:lang w:val="pt-BR"/>
        </w:rPr>
        <w:t>03/2018), a Base Nacional Curricular Comum (BNCC - Resolução CNE/CEB n</w:t>
      </w:r>
      <w:r w:rsidRPr="00CA7147">
        <w:rPr>
          <w:rFonts w:ascii="Arial" w:hAnsi="Arial" w:cs="Arial"/>
          <w:sz w:val="24"/>
          <w:szCs w:val="24"/>
          <w:vertAlign w:val="superscript"/>
          <w:lang w:val="pt-BR"/>
        </w:rPr>
        <w:t xml:space="preserve">0 </w:t>
      </w:r>
      <w:r w:rsidRPr="00CA7147">
        <w:rPr>
          <w:rFonts w:ascii="Arial" w:hAnsi="Arial" w:cs="Arial"/>
          <w:sz w:val="24"/>
          <w:szCs w:val="24"/>
          <w:lang w:val="pt-BR"/>
        </w:rPr>
        <w:t>04/2018) e a quarta versão do Catálogo Nacional de Cursos Técnicos (CNCT - Resolução CNE/CEB n</w:t>
      </w:r>
      <w:r w:rsidRPr="00CA7147">
        <w:rPr>
          <w:rFonts w:ascii="Arial" w:hAnsi="Arial" w:cs="Arial"/>
          <w:sz w:val="24"/>
          <w:szCs w:val="24"/>
          <w:vertAlign w:val="superscript"/>
          <w:lang w:val="pt-BR"/>
        </w:rPr>
        <w:t>0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02/2020).</w:t>
      </w:r>
    </w:p>
    <w:p w14:paraId="096175C3" w14:textId="77777777" w:rsidR="00CA7147" w:rsidRDefault="00CA7147">
      <w:pPr>
        <w:spacing w:line="288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14:paraId="22934AEA" w14:textId="2AFFE1FB" w:rsidR="003E6792" w:rsidRPr="00CA7147" w:rsidRDefault="0038108D">
      <w:pPr>
        <w:spacing w:line="288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A7147">
        <w:rPr>
          <w:rFonts w:ascii="Arial" w:hAnsi="Arial" w:cs="Arial"/>
          <w:sz w:val="24"/>
          <w:szCs w:val="24"/>
          <w:lang w:val="pt-BR"/>
        </w:rPr>
        <w:t xml:space="preserve">Inicialmente, é fundamental explicitar o contexto de recrudescimento da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ideologia neoliberal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em que ocorreu a gênese dessa contrarreforma. Apesar de alguns antecedentes, o principal marco é o processo de golpe em curso contra a sociedade brasileira desencadeado a partir de 2016, cujo objetivo é reconfigurar o Estado visando a torná-lo ainda “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mais mínimo</w:t>
      </w:r>
      <w:r w:rsidRPr="00CA7147">
        <w:rPr>
          <w:rFonts w:ascii="Arial" w:hAnsi="Arial" w:cs="Arial"/>
          <w:sz w:val="24"/>
          <w:szCs w:val="24"/>
          <w:lang w:val="pt-BR"/>
        </w:rPr>
        <w:t>” para a garantia dos direitos sociais e “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mais máximo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” na regulação dos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interesses do grande capital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nacional e internacional, especialmente o capital financeiro (especulativo), </w:t>
      </w:r>
      <w:r w:rsidR="002540C0">
        <w:rPr>
          <w:rFonts w:ascii="Arial" w:hAnsi="Arial" w:cs="Arial"/>
          <w:sz w:val="24"/>
          <w:szCs w:val="24"/>
          <w:lang w:val="pt-BR"/>
        </w:rPr>
        <w:t>tendo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como primeiro ato o impedimento da presidenta Dilma Roussef. Do ponto de vista do golpe, essa foi uma medida imprescindível às ações subsequentes, todas coerentes com esse objetivo, dentre as quais destaca</w:t>
      </w:r>
      <w:r w:rsidR="002540C0">
        <w:rPr>
          <w:rFonts w:ascii="Arial" w:hAnsi="Arial" w:cs="Arial"/>
          <w:sz w:val="24"/>
          <w:szCs w:val="24"/>
          <w:lang w:val="pt-BR"/>
        </w:rPr>
        <w:t>m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-se: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Lei nº 13.365/2016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, que altera o marco regulatório da exploração de petróleo do </w:t>
      </w:r>
      <w:proofErr w:type="spellStart"/>
      <w:r w:rsidRPr="00CA7147">
        <w:rPr>
          <w:rFonts w:ascii="Arial" w:hAnsi="Arial" w:cs="Arial"/>
          <w:sz w:val="24"/>
          <w:szCs w:val="24"/>
          <w:lang w:val="pt-BR"/>
        </w:rPr>
        <w:t>pré</w:t>
      </w:r>
      <w:proofErr w:type="spellEnd"/>
      <w:r w:rsidRPr="00CA7147">
        <w:rPr>
          <w:rFonts w:ascii="Arial" w:hAnsi="Arial" w:cs="Arial"/>
          <w:sz w:val="24"/>
          <w:szCs w:val="24"/>
          <w:lang w:val="pt-BR"/>
        </w:rPr>
        <w:t xml:space="preserve">-sal; Emenda Constitucional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n</w:t>
      </w:r>
      <w:r w:rsidRPr="00CA7147">
        <w:rPr>
          <w:rFonts w:ascii="Arial" w:hAnsi="Arial" w:cs="Arial"/>
          <w:b/>
          <w:bCs/>
          <w:sz w:val="24"/>
          <w:szCs w:val="24"/>
          <w:vertAlign w:val="superscript"/>
          <w:lang w:val="pt-BR"/>
        </w:rPr>
        <w:t>0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 xml:space="preserve"> 95/2016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, que congelou os investimentos nas áreas sociais por vinte anos;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Reforma Trabalhista</w:t>
      </w:r>
      <w:r w:rsidRPr="00CA257F">
        <w:rPr>
          <w:rFonts w:ascii="Arial" w:hAnsi="Arial" w:cs="Arial"/>
          <w:bCs/>
          <w:sz w:val="24"/>
          <w:szCs w:val="24"/>
          <w:lang w:val="pt-BR"/>
        </w:rPr>
        <w:t xml:space="preserve">;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Reforma da Previdência</w:t>
      </w:r>
      <w:r w:rsidRPr="00CA7147">
        <w:rPr>
          <w:rFonts w:ascii="Arial" w:hAnsi="Arial" w:cs="Arial"/>
          <w:sz w:val="24"/>
          <w:szCs w:val="24"/>
          <w:lang w:val="pt-BR"/>
        </w:rPr>
        <w:t>, dentre outras, incluindo a própria contrarreforma do Ensino Médio.</w:t>
      </w:r>
    </w:p>
    <w:p w14:paraId="07ADAEE1" w14:textId="358D1E85" w:rsidR="003E6792" w:rsidRPr="00CA7147" w:rsidRDefault="0038108D">
      <w:pPr>
        <w:spacing w:line="288" w:lineRule="auto"/>
        <w:jc w:val="both"/>
        <w:rPr>
          <w:rFonts w:ascii="Arial" w:hAnsi="Arial"/>
          <w:sz w:val="24"/>
          <w:szCs w:val="24"/>
          <w:lang w:val="pt-BR"/>
        </w:rPr>
      </w:pPr>
      <w:r w:rsidRPr="00CA7147">
        <w:rPr>
          <w:rFonts w:ascii="Arial" w:hAnsi="Arial" w:cs="Arial"/>
          <w:sz w:val="24"/>
          <w:szCs w:val="24"/>
          <w:lang w:val="pt-BR"/>
        </w:rPr>
        <w:t xml:space="preserve">Esse quadro, já extremamente grave, de avanço do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ultraliberalismo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econômico engendrado a partir de 2016 sofre uma inflexão para pior, quando, a partir de 2019</w:t>
      </w:r>
      <w:r w:rsidR="002D54D0">
        <w:rPr>
          <w:rFonts w:ascii="Arial" w:hAnsi="Arial" w:cs="Arial"/>
          <w:sz w:val="24"/>
          <w:szCs w:val="24"/>
          <w:lang w:val="pt-BR"/>
        </w:rPr>
        <w:t>,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agrega</w:t>
      </w:r>
      <w:r w:rsidR="002D54D0">
        <w:rPr>
          <w:rFonts w:ascii="Arial" w:hAnsi="Arial" w:cs="Arial"/>
          <w:sz w:val="24"/>
          <w:szCs w:val="24"/>
          <w:lang w:val="pt-BR"/>
        </w:rPr>
        <w:t>-se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 o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 xml:space="preserve">ultraconservadorismo 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de costumes, que também incorpora o </w:t>
      </w:r>
      <w:r w:rsidRPr="00CA7147">
        <w:rPr>
          <w:rFonts w:ascii="Arial" w:hAnsi="Arial" w:cs="Arial"/>
          <w:b/>
          <w:bCs/>
          <w:sz w:val="24"/>
          <w:szCs w:val="24"/>
          <w:lang w:val="pt-BR"/>
        </w:rPr>
        <w:t>negacionismo da ciência e a tecnocracia militarista</w:t>
      </w:r>
      <w:r w:rsidRPr="00CA7147">
        <w:rPr>
          <w:rFonts w:ascii="Arial" w:hAnsi="Arial" w:cs="Arial"/>
          <w:sz w:val="24"/>
          <w:szCs w:val="24"/>
          <w:lang w:val="pt-BR"/>
        </w:rPr>
        <w:t xml:space="preserve">. Essas forças </w:t>
      </w:r>
      <w:r w:rsidRPr="00CA7147">
        <w:rPr>
          <w:rFonts w:ascii="Arial" w:hAnsi="Arial"/>
          <w:sz w:val="24"/>
          <w:szCs w:val="24"/>
          <w:lang w:val="pt-BR"/>
        </w:rPr>
        <w:t>nem sempre estão de mãos dadas, mas têm um projeto comum em torno do qual se unem: atacar os direitos sociais arduamente conquistados ao longo do tempo pela classe trabalhadora mais empobrecida deste país e, ao mesmo, a regular os interesses do capital.</w:t>
      </w:r>
    </w:p>
    <w:p w14:paraId="2D1AA63C" w14:textId="73C1085D" w:rsidR="003E6792" w:rsidRPr="00CA7147" w:rsidRDefault="0038108D">
      <w:pPr>
        <w:spacing w:line="288" w:lineRule="auto"/>
        <w:jc w:val="both"/>
        <w:rPr>
          <w:rFonts w:ascii="Arial" w:hAnsi="Arial"/>
          <w:sz w:val="24"/>
          <w:szCs w:val="24"/>
          <w:lang w:val="pt-BR"/>
        </w:rPr>
      </w:pPr>
      <w:r w:rsidRPr="00CA7147">
        <w:rPr>
          <w:rFonts w:ascii="Arial" w:hAnsi="Arial"/>
          <w:sz w:val="24"/>
          <w:szCs w:val="24"/>
          <w:lang w:val="pt-BR"/>
        </w:rPr>
        <w:lastRenderedPageBreak/>
        <w:t>A contrarreforma do ensino médio em seu conjunto, e, em particular, das DCNEPT (nesta análise também se inclui o Relatório do Parecer CNE/CP n</w:t>
      </w:r>
      <w:r w:rsidRPr="00CA7147">
        <w:rPr>
          <w:rFonts w:ascii="Arial" w:hAnsi="Arial"/>
          <w:sz w:val="24"/>
          <w:szCs w:val="24"/>
          <w:vertAlign w:val="superscript"/>
          <w:lang w:val="pt-BR"/>
        </w:rPr>
        <w:t>0</w:t>
      </w:r>
      <w:r w:rsidRPr="00CA7147">
        <w:rPr>
          <w:rFonts w:ascii="Arial" w:hAnsi="Arial"/>
          <w:sz w:val="24"/>
          <w:szCs w:val="24"/>
          <w:lang w:val="pt-BR"/>
        </w:rPr>
        <w:t xml:space="preserve"> 17/2020, que deu origem a essas diretrizes), pode ser sintetizada pelo direcionamento a uma completa </w:t>
      </w:r>
      <w:r w:rsidRPr="00CA7147">
        <w:rPr>
          <w:rFonts w:ascii="Arial" w:hAnsi="Arial"/>
          <w:b/>
          <w:bCs/>
          <w:sz w:val="24"/>
          <w:szCs w:val="24"/>
          <w:lang w:val="pt-BR"/>
        </w:rPr>
        <w:t>fragmentação da etapa final da educação básica</w:t>
      </w:r>
      <w:r w:rsidRPr="00CA7147">
        <w:rPr>
          <w:rFonts w:ascii="Arial" w:hAnsi="Arial"/>
          <w:sz w:val="24"/>
          <w:szCs w:val="24"/>
          <w:lang w:val="pt-BR"/>
        </w:rPr>
        <w:t>, priva</w:t>
      </w:r>
      <w:r w:rsidR="00FB74D8">
        <w:rPr>
          <w:rFonts w:ascii="Arial" w:hAnsi="Arial"/>
          <w:sz w:val="24"/>
          <w:szCs w:val="24"/>
          <w:lang w:val="pt-BR"/>
        </w:rPr>
        <w:t>ndo</w:t>
      </w:r>
      <w:r w:rsidRPr="00CA7147">
        <w:rPr>
          <w:rFonts w:ascii="Arial" w:hAnsi="Arial"/>
          <w:sz w:val="24"/>
          <w:szCs w:val="24"/>
          <w:lang w:val="pt-BR"/>
        </w:rPr>
        <w:t xml:space="preserve"> os filhos da classe trabalhadora mais empobrecida do acesso aos conhecimentos produzidos e acumulados pela humanidade e, ao mesmo tempo, promove</w:t>
      </w:r>
      <w:r w:rsidR="00FB74D8">
        <w:rPr>
          <w:rFonts w:ascii="Arial" w:hAnsi="Arial"/>
          <w:sz w:val="24"/>
          <w:szCs w:val="24"/>
          <w:lang w:val="pt-BR"/>
        </w:rPr>
        <w:t>ndo</w:t>
      </w:r>
      <w:r w:rsidRPr="00CA7147">
        <w:rPr>
          <w:rFonts w:ascii="Arial" w:hAnsi="Arial"/>
          <w:sz w:val="24"/>
          <w:szCs w:val="24"/>
          <w:lang w:val="pt-BR"/>
        </w:rPr>
        <w:t xml:space="preserve"> sua privatização via </w:t>
      </w:r>
      <w:r w:rsidRPr="00CA7147">
        <w:rPr>
          <w:rFonts w:ascii="Arial" w:hAnsi="Arial"/>
          <w:b/>
          <w:bCs/>
          <w:sz w:val="24"/>
          <w:szCs w:val="24"/>
          <w:lang w:val="pt-BR"/>
        </w:rPr>
        <w:t>parceria público-privado</w:t>
      </w:r>
      <w:r w:rsidRPr="00CA7147">
        <w:rPr>
          <w:rFonts w:ascii="Arial" w:hAnsi="Arial"/>
          <w:sz w:val="24"/>
          <w:szCs w:val="24"/>
          <w:lang w:val="pt-BR"/>
        </w:rPr>
        <w:t xml:space="preserve"> que, na prática</w:t>
      </w:r>
      <w:r w:rsidR="00511F50">
        <w:rPr>
          <w:rFonts w:ascii="Arial" w:hAnsi="Arial"/>
          <w:sz w:val="24"/>
          <w:szCs w:val="24"/>
          <w:lang w:val="pt-BR"/>
        </w:rPr>
        <w:t xml:space="preserve"> </w:t>
      </w:r>
      <w:r w:rsidRPr="00CA7147">
        <w:rPr>
          <w:rFonts w:ascii="Arial" w:hAnsi="Arial"/>
          <w:sz w:val="24"/>
          <w:szCs w:val="24"/>
          <w:lang w:val="pt-BR"/>
        </w:rPr>
        <w:t>transfer</w:t>
      </w:r>
      <w:r w:rsidR="00511F50">
        <w:rPr>
          <w:rFonts w:ascii="Arial" w:hAnsi="Arial"/>
          <w:sz w:val="24"/>
          <w:szCs w:val="24"/>
          <w:lang w:val="pt-BR"/>
        </w:rPr>
        <w:t xml:space="preserve">e </w:t>
      </w:r>
      <w:r w:rsidRPr="00CA7147">
        <w:rPr>
          <w:rFonts w:ascii="Arial" w:hAnsi="Arial"/>
          <w:sz w:val="24"/>
          <w:szCs w:val="24"/>
          <w:lang w:val="pt-BR"/>
        </w:rPr>
        <w:t>recurso</w:t>
      </w:r>
      <w:r w:rsidR="00511F50">
        <w:rPr>
          <w:rFonts w:ascii="Arial" w:hAnsi="Arial"/>
          <w:sz w:val="24"/>
          <w:szCs w:val="24"/>
          <w:lang w:val="pt-BR"/>
        </w:rPr>
        <w:t>s</w:t>
      </w:r>
      <w:r w:rsidRPr="00CA7147">
        <w:rPr>
          <w:rFonts w:ascii="Arial" w:hAnsi="Arial"/>
          <w:sz w:val="24"/>
          <w:szCs w:val="24"/>
          <w:lang w:val="pt-BR"/>
        </w:rPr>
        <w:t xml:space="preserve"> público</w:t>
      </w:r>
      <w:r w:rsidR="00511F50">
        <w:rPr>
          <w:rFonts w:ascii="Arial" w:hAnsi="Arial"/>
          <w:sz w:val="24"/>
          <w:szCs w:val="24"/>
          <w:lang w:val="pt-BR"/>
        </w:rPr>
        <w:t>s</w:t>
      </w:r>
      <w:r w:rsidRPr="00CA7147">
        <w:rPr>
          <w:rFonts w:ascii="Arial" w:hAnsi="Arial"/>
          <w:sz w:val="24"/>
          <w:szCs w:val="24"/>
          <w:lang w:val="pt-BR"/>
        </w:rPr>
        <w:t xml:space="preserve"> à iniciativa privada </w:t>
      </w:r>
      <w:r w:rsidR="00511F50">
        <w:rPr>
          <w:rFonts w:ascii="Arial" w:hAnsi="Arial"/>
          <w:sz w:val="24"/>
          <w:szCs w:val="24"/>
          <w:lang w:val="pt-BR"/>
        </w:rPr>
        <w:t xml:space="preserve">para que ela, de um lado, defina </w:t>
      </w:r>
      <w:r w:rsidRPr="00CA7147">
        <w:rPr>
          <w:rFonts w:ascii="Arial" w:hAnsi="Arial"/>
          <w:sz w:val="24"/>
          <w:szCs w:val="24"/>
          <w:lang w:val="pt-BR"/>
        </w:rPr>
        <w:t xml:space="preserve">a concepção </w:t>
      </w:r>
      <w:r w:rsidR="00511F50">
        <w:rPr>
          <w:rFonts w:ascii="Arial" w:hAnsi="Arial"/>
          <w:sz w:val="24"/>
          <w:szCs w:val="24"/>
          <w:lang w:val="pt-BR"/>
        </w:rPr>
        <w:t>de e</w:t>
      </w:r>
      <w:r w:rsidR="00073675">
        <w:rPr>
          <w:rFonts w:ascii="Arial" w:hAnsi="Arial"/>
          <w:sz w:val="24"/>
          <w:szCs w:val="24"/>
          <w:lang w:val="pt-BR"/>
        </w:rPr>
        <w:t>nsino</w:t>
      </w:r>
      <w:r w:rsidR="00511F50">
        <w:rPr>
          <w:rFonts w:ascii="Arial" w:hAnsi="Arial"/>
          <w:sz w:val="24"/>
          <w:szCs w:val="24"/>
          <w:lang w:val="pt-BR"/>
        </w:rPr>
        <w:t xml:space="preserve"> e, </w:t>
      </w:r>
      <w:r w:rsidR="00073675">
        <w:rPr>
          <w:rFonts w:ascii="Arial" w:hAnsi="Arial"/>
          <w:sz w:val="24"/>
          <w:szCs w:val="24"/>
          <w:lang w:val="pt-BR"/>
        </w:rPr>
        <w:t>de</w:t>
      </w:r>
      <w:r w:rsidR="00511F50">
        <w:rPr>
          <w:rFonts w:ascii="Arial" w:hAnsi="Arial"/>
          <w:sz w:val="24"/>
          <w:szCs w:val="24"/>
          <w:lang w:val="pt-BR"/>
        </w:rPr>
        <w:t xml:space="preserve"> outro, </w:t>
      </w:r>
      <w:r w:rsidR="00073675">
        <w:rPr>
          <w:rFonts w:ascii="Arial" w:hAnsi="Arial"/>
          <w:sz w:val="24"/>
          <w:szCs w:val="24"/>
          <w:lang w:val="pt-BR"/>
        </w:rPr>
        <w:t xml:space="preserve">oferte ou </w:t>
      </w:r>
      <w:r w:rsidR="00511F50">
        <w:rPr>
          <w:rFonts w:ascii="Arial" w:hAnsi="Arial"/>
          <w:sz w:val="24"/>
          <w:szCs w:val="24"/>
          <w:lang w:val="pt-BR"/>
        </w:rPr>
        <w:t>gerencie (administre, avalie e controle)</w:t>
      </w:r>
      <w:r w:rsidR="00073675">
        <w:rPr>
          <w:rFonts w:ascii="Arial" w:hAnsi="Arial"/>
          <w:sz w:val="24"/>
          <w:szCs w:val="24"/>
          <w:lang w:val="pt-BR"/>
        </w:rPr>
        <w:t xml:space="preserve"> a educação</w:t>
      </w:r>
      <w:r w:rsidR="00511F50">
        <w:rPr>
          <w:rFonts w:ascii="Arial" w:hAnsi="Arial"/>
          <w:sz w:val="24"/>
          <w:szCs w:val="24"/>
          <w:lang w:val="pt-BR"/>
        </w:rPr>
        <w:t xml:space="preserve"> </w:t>
      </w:r>
      <w:r w:rsidRPr="00CA7147">
        <w:rPr>
          <w:rFonts w:ascii="Arial" w:hAnsi="Arial"/>
          <w:sz w:val="24"/>
          <w:szCs w:val="24"/>
          <w:lang w:val="pt-BR"/>
        </w:rPr>
        <w:t>que será proporcionada à população.</w:t>
      </w:r>
    </w:p>
    <w:p w14:paraId="726823FC" w14:textId="60EE4B70" w:rsidR="003E6792" w:rsidRPr="00CA7147" w:rsidRDefault="0038108D">
      <w:pPr>
        <w:spacing w:line="288" w:lineRule="auto"/>
        <w:jc w:val="both"/>
        <w:rPr>
          <w:rFonts w:ascii="Arial" w:hAnsi="Arial"/>
          <w:sz w:val="24"/>
          <w:szCs w:val="24"/>
          <w:lang w:val="pt-BR"/>
        </w:rPr>
      </w:pPr>
      <w:r w:rsidRPr="00CA7147">
        <w:rPr>
          <w:rFonts w:ascii="Arial" w:hAnsi="Arial"/>
          <w:sz w:val="24"/>
          <w:szCs w:val="24"/>
          <w:lang w:val="pt-BR"/>
        </w:rPr>
        <w:t xml:space="preserve">No caso específico das DCNEPT, seu sentido geral é coerente com toda a lógica até aqui explicitada, </w:t>
      </w:r>
      <w:r w:rsidR="00805050">
        <w:rPr>
          <w:rFonts w:ascii="Arial" w:hAnsi="Arial"/>
          <w:sz w:val="24"/>
          <w:szCs w:val="24"/>
          <w:lang w:val="pt-BR"/>
        </w:rPr>
        <w:t>diante do que p</w:t>
      </w:r>
      <w:r w:rsidRPr="00CA7147">
        <w:rPr>
          <w:rFonts w:ascii="Arial" w:hAnsi="Arial"/>
          <w:sz w:val="24"/>
          <w:szCs w:val="24"/>
          <w:lang w:val="pt-BR"/>
        </w:rPr>
        <w:t>assamos</w:t>
      </w:r>
      <w:r w:rsidR="00AB24FC" w:rsidRPr="00CA7147">
        <w:rPr>
          <w:rFonts w:ascii="Arial" w:hAnsi="Arial"/>
          <w:sz w:val="24"/>
          <w:szCs w:val="24"/>
          <w:lang w:val="pt-BR"/>
        </w:rPr>
        <w:t xml:space="preserve"> a </w:t>
      </w:r>
      <w:r w:rsidRPr="00CA7147">
        <w:rPr>
          <w:rFonts w:ascii="Arial" w:hAnsi="Arial"/>
          <w:sz w:val="24"/>
          <w:szCs w:val="24"/>
          <w:lang w:val="pt-BR"/>
        </w:rPr>
        <w:t>destacar alguns dos aspectos bastante preocupantes que se configuram como ataque</w:t>
      </w:r>
      <w:r w:rsidR="00805050">
        <w:rPr>
          <w:rFonts w:ascii="Arial" w:hAnsi="Arial"/>
          <w:sz w:val="24"/>
          <w:szCs w:val="24"/>
          <w:lang w:val="pt-BR"/>
        </w:rPr>
        <w:t>s</w:t>
      </w:r>
      <w:r w:rsidRPr="00CA7147">
        <w:rPr>
          <w:rFonts w:ascii="Arial" w:hAnsi="Arial"/>
          <w:sz w:val="24"/>
          <w:szCs w:val="24"/>
          <w:lang w:val="pt-BR"/>
        </w:rPr>
        <w:t xml:space="preserve"> ao direito de todos à educação básica e profissional de qualidade socialmente referenciada</w:t>
      </w:r>
      <w:r w:rsidR="00AB24FC" w:rsidRPr="00CA7147">
        <w:rPr>
          <w:rFonts w:ascii="Arial" w:hAnsi="Arial"/>
          <w:sz w:val="24"/>
          <w:szCs w:val="24"/>
          <w:lang w:val="pt-BR"/>
        </w:rPr>
        <w:t>:</w:t>
      </w:r>
    </w:p>
    <w:p w14:paraId="2A151AF3" w14:textId="77777777" w:rsidR="00BF3C7A" w:rsidRDefault="00BF3C7A">
      <w:pPr>
        <w:spacing w:line="288" w:lineRule="auto"/>
        <w:jc w:val="both"/>
        <w:rPr>
          <w:rFonts w:ascii="Arial" w:hAnsi="Arial"/>
          <w:sz w:val="24"/>
          <w:szCs w:val="24"/>
          <w:lang w:val="pt-BR"/>
        </w:rPr>
      </w:pPr>
    </w:p>
    <w:p w14:paraId="32A3AA38" w14:textId="3757167C" w:rsidR="0038570D" w:rsidRDefault="0038108D">
      <w:pPr>
        <w:spacing w:line="288" w:lineRule="auto"/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sz w:val="24"/>
          <w:szCs w:val="24"/>
          <w:lang w:val="pt-BR"/>
        </w:rPr>
        <w:t xml:space="preserve">O texto das DCNEPT </w:t>
      </w:r>
      <w:r w:rsidR="00AB24FC" w:rsidRPr="00CA7147">
        <w:rPr>
          <w:rFonts w:ascii="Arial" w:hAnsi="Arial"/>
          <w:sz w:val="24"/>
          <w:szCs w:val="24"/>
          <w:lang w:val="pt-BR"/>
        </w:rPr>
        <w:t xml:space="preserve">carece de consistência teórica, pois o que o marca é a indefinição ou oscilação no que se refere às concepções educacionais que apresenta, situando-o no âmbito das críticas </w:t>
      </w:r>
      <w:r w:rsidR="001D0F25" w:rsidRPr="00CA7147">
        <w:rPr>
          <w:rFonts w:ascii="Arial" w:hAnsi="Arial"/>
          <w:sz w:val="24"/>
          <w:szCs w:val="24"/>
          <w:lang w:val="pt-BR"/>
        </w:rPr>
        <w:t>acadêmicas dirigidas a documentos oficiais relativos às reformas da década de 1990 (decreto 2208/1997, por exemplo). Uma dessas críticas, apoiada em Bernstein, chama a atenção para os processos de recontextualização que tendem a se fazer presentes no campo da produção curricular, entendida como produção cultural, na forma de híbridos, ou seja</w:t>
      </w:r>
      <w:r w:rsidR="0038570D">
        <w:rPr>
          <w:rFonts w:ascii="Arial" w:hAnsi="Arial"/>
          <w:sz w:val="24"/>
          <w:szCs w:val="24"/>
          <w:lang w:val="pt-BR"/>
        </w:rPr>
        <w:t>,</w:t>
      </w:r>
      <w:r w:rsidR="001D0F25" w:rsidRPr="00CA7147">
        <w:rPr>
          <w:rFonts w:ascii="Arial" w:hAnsi="Arial"/>
          <w:sz w:val="24"/>
          <w:szCs w:val="24"/>
          <w:lang w:val="pt-BR"/>
        </w:rPr>
        <w:t xml:space="preserve"> de proposições produzidas pela hibridização de discursos curriculares distintos, os quais propõem articular, como se apoiados na mesma referência teórico</w:t>
      </w:r>
      <w:r w:rsidR="0038570D">
        <w:rPr>
          <w:rFonts w:ascii="Arial" w:hAnsi="Arial"/>
          <w:sz w:val="24"/>
          <w:szCs w:val="24"/>
          <w:lang w:val="pt-BR"/>
        </w:rPr>
        <w:t>-</w:t>
      </w:r>
      <w:r w:rsidR="001D0F25" w:rsidRPr="00CA7147">
        <w:rPr>
          <w:rFonts w:ascii="Arial" w:hAnsi="Arial"/>
          <w:sz w:val="24"/>
          <w:szCs w:val="24"/>
          <w:lang w:val="pt-BR"/>
        </w:rPr>
        <w:t>epistemológica, matrizes teóricas (políticas) de natureza diversa.</w:t>
      </w:r>
    </w:p>
    <w:p w14:paraId="203972BC" w14:textId="18F7FE95" w:rsidR="003E6792" w:rsidRPr="00CA7147" w:rsidRDefault="0038108D">
      <w:pPr>
        <w:spacing w:line="288" w:lineRule="auto"/>
        <w:jc w:val="both"/>
        <w:rPr>
          <w:rFonts w:ascii="Arial" w:hAnsi="Arial"/>
          <w:color w:val="000000"/>
          <w:sz w:val="24"/>
          <w:szCs w:val="24"/>
          <w:lang w:val="pt-BR"/>
        </w:rPr>
      </w:pP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Assim, expressões e conceitos do referencial crítico</w:t>
      </w:r>
      <w:r w:rsidR="0038570D">
        <w:rPr>
          <w:rFonts w:ascii="Arial" w:hAnsi="Arial"/>
          <w:color w:val="000000" w:themeColor="text1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como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>“trabalho como princípio educativo”, “pesquisa como princípio pedagógico”, “formação humana integral”, “integração entre trabalho, ciência, tecnologia e cultura como eixos estruturantes da formação humana”, “mundo do trabalho”</w:t>
      </w:r>
      <w:r w:rsidR="0038570D">
        <w:rPr>
          <w:rFonts w:ascii="Arial" w:hAnsi="Arial"/>
          <w:bCs/>
          <w:color w:val="000000" w:themeColor="text1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são utilizados juntamente com expressões e conceitos próprios do pensamento neoliberal</w:t>
      </w:r>
      <w:r w:rsidR="005D46F4">
        <w:rPr>
          <w:rFonts w:ascii="Arial" w:hAnsi="Arial"/>
          <w:color w:val="000000" w:themeColor="text1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como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>“competências para a laborabilidade”, “empreendedorismo”, “protagonismo”, “competências socioemocionais”, “empregabilidade”, “mercado de trabalho”</w:t>
      </w:r>
      <w:r w:rsidR="005D46F4">
        <w:rPr>
          <w:rFonts w:ascii="Arial" w:hAnsi="Arial"/>
          <w:bCs/>
          <w:color w:val="000000" w:themeColor="text1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dentre outros. Apenas como exemplo, pois isso é recorrente ao longo do texto</w:t>
      </w:r>
      <w:r w:rsidR="005D46F4">
        <w:rPr>
          <w:rFonts w:ascii="Arial" w:hAnsi="Arial"/>
          <w:color w:val="000000" w:themeColor="text1"/>
          <w:sz w:val="24"/>
          <w:szCs w:val="24"/>
          <w:lang w:val="pt-BR"/>
        </w:rPr>
        <w:t xml:space="preserve"> </w:t>
      </w:r>
      <w:r w:rsidR="005D46F4" w:rsidRPr="00CA7147">
        <w:rPr>
          <w:rFonts w:ascii="Arial" w:hAnsi="Arial"/>
          <w:sz w:val="24"/>
          <w:szCs w:val="24"/>
          <w:lang w:val="pt-BR"/>
        </w:rPr>
        <w:t>das DCNEPT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, transcrevem-se</w:t>
      </w:r>
      <w:r w:rsidR="005D46F4">
        <w:rPr>
          <w:rFonts w:ascii="Arial" w:hAnsi="Arial"/>
          <w:color w:val="000000" w:themeColor="text1"/>
          <w:sz w:val="24"/>
          <w:szCs w:val="24"/>
          <w:lang w:val="pt-BR"/>
        </w:rPr>
        <w:t>, abaixo,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os incisos IV e V do “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>Art. 3</w:t>
      </w:r>
      <w:r w:rsidRPr="00CA7147">
        <w:rPr>
          <w:rFonts w:ascii="Arial" w:hAnsi="Arial"/>
          <w:color w:val="000000"/>
          <w:sz w:val="24"/>
          <w:szCs w:val="24"/>
          <w:vertAlign w:val="superscript"/>
          <w:lang w:val="pt-BR"/>
        </w:rPr>
        <w:t>o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>. São princípios da Educação Profissional e Tecnológica”</w:t>
      </w:r>
      <w:r w:rsidR="005D46F4">
        <w:rPr>
          <w:rFonts w:ascii="Arial" w:hAnsi="Arial"/>
          <w:color w:val="000000"/>
          <w:sz w:val="24"/>
          <w:szCs w:val="24"/>
          <w:lang w:val="pt-BR"/>
        </w:rPr>
        <w:t>.</w:t>
      </w:r>
      <w:r w:rsidR="00CA7147" w:rsidRPr="00CA7147">
        <w:rPr>
          <w:rFonts w:ascii="Arial" w:hAnsi="Arial"/>
          <w:color w:val="000000"/>
          <w:sz w:val="24"/>
          <w:szCs w:val="24"/>
          <w:lang w:val="pt-BR"/>
        </w:rPr>
        <w:t xml:space="preserve"> </w:t>
      </w:r>
      <w:r w:rsidR="005D46F4">
        <w:rPr>
          <w:rFonts w:ascii="Arial" w:hAnsi="Arial"/>
          <w:color w:val="000000"/>
          <w:sz w:val="24"/>
          <w:szCs w:val="24"/>
          <w:lang w:val="pt-BR"/>
        </w:rPr>
        <w:t xml:space="preserve">Sobre tal questão, considere-se que </w:t>
      </w:r>
      <w:r w:rsidR="005D46F4">
        <w:rPr>
          <w:rFonts w:ascii="Arial" w:hAnsi="Arial"/>
          <w:sz w:val="24"/>
          <w:szCs w:val="24"/>
          <w:lang w:val="pt-BR"/>
        </w:rPr>
        <w:t>o</w:t>
      </w:r>
      <w:r w:rsidR="00CA7147" w:rsidRPr="00CA7147">
        <w:rPr>
          <w:rFonts w:ascii="Arial" w:hAnsi="Arial"/>
          <w:sz w:val="24"/>
          <w:szCs w:val="24"/>
          <w:lang w:val="pt-BR"/>
        </w:rPr>
        <w:t xml:space="preserve"> uso de termos originados em campos opostos teórica e politicamente não ocorre por equívoco de quem o produziu, mas com a clara intencionalidade de </w:t>
      </w:r>
      <w:r w:rsidR="00CA7147" w:rsidRPr="00CA7147">
        <w:rPr>
          <w:rFonts w:ascii="Arial" w:hAnsi="Arial"/>
          <w:color w:val="000000" w:themeColor="text1"/>
          <w:sz w:val="24"/>
          <w:szCs w:val="24"/>
          <w:lang w:val="pt-BR"/>
        </w:rPr>
        <w:lastRenderedPageBreak/>
        <w:t>distorcer, propositalmente, os conceitos para dificultar a interpretação por parte do leitor pouco atento ou com pouco domínio sobre eles.</w:t>
      </w:r>
    </w:p>
    <w:p w14:paraId="56F35742" w14:textId="77777777" w:rsidR="003E6792" w:rsidRPr="00CA7147" w:rsidRDefault="003E6792">
      <w:pPr>
        <w:spacing w:line="288" w:lineRule="auto"/>
        <w:ind w:firstLineChars="250" w:firstLine="600"/>
        <w:jc w:val="both"/>
        <w:rPr>
          <w:rFonts w:ascii="Arial" w:hAnsi="Arial"/>
          <w:color w:val="000000"/>
          <w:sz w:val="24"/>
          <w:szCs w:val="24"/>
          <w:lang w:val="pt-BR"/>
        </w:rPr>
      </w:pPr>
    </w:p>
    <w:p w14:paraId="50676B52" w14:textId="77777777" w:rsidR="003E6792" w:rsidRPr="00CA7147" w:rsidRDefault="0038108D">
      <w:pPr>
        <w:ind w:leftChars="1000" w:left="2000"/>
        <w:jc w:val="both"/>
        <w:rPr>
          <w:rFonts w:ascii="Arial" w:hAnsi="Arial"/>
          <w:color w:val="000000"/>
          <w:lang w:val="pt-BR"/>
        </w:rPr>
      </w:pPr>
      <w:r w:rsidRPr="00CA7147">
        <w:rPr>
          <w:rFonts w:ascii="Arial" w:hAnsi="Arial"/>
          <w:color w:val="000000"/>
          <w:lang w:val="pt-BR"/>
        </w:rPr>
        <w:t>IV</w:t>
      </w:r>
      <w:r w:rsidRPr="00CA7147">
        <w:rPr>
          <w:rFonts w:ascii="Arial" w:hAnsi="Arial"/>
          <w:color w:val="000000"/>
          <w:lang w:val="pt-BR"/>
        </w:rPr>
        <w:tab/>
        <w:t xml:space="preserve">- </w:t>
      </w:r>
      <w:proofErr w:type="gramStart"/>
      <w:r w:rsidRPr="00CA7147">
        <w:rPr>
          <w:rFonts w:ascii="Arial" w:hAnsi="Arial"/>
          <w:color w:val="000000"/>
          <w:lang w:val="pt-BR"/>
        </w:rPr>
        <w:t>centralidade</w:t>
      </w:r>
      <w:proofErr w:type="gramEnd"/>
      <w:r w:rsidRPr="00CA7147">
        <w:rPr>
          <w:rFonts w:ascii="Arial" w:hAnsi="Arial"/>
          <w:color w:val="000000"/>
          <w:lang w:val="pt-BR"/>
        </w:rPr>
        <w:t xml:space="preserve"> do </w:t>
      </w:r>
      <w:r w:rsidRPr="00CA7147">
        <w:rPr>
          <w:rFonts w:ascii="Arial" w:hAnsi="Arial"/>
          <w:b/>
          <w:bCs/>
          <w:color w:val="000000"/>
          <w:lang w:val="pt-BR"/>
        </w:rPr>
        <w:t>trabalho assumido como princípio educativo</w:t>
      </w:r>
      <w:r w:rsidRPr="00CA7147">
        <w:rPr>
          <w:rFonts w:ascii="Arial" w:hAnsi="Arial"/>
          <w:color w:val="000000"/>
          <w:lang w:val="pt-BR"/>
        </w:rPr>
        <w:t xml:space="preserve"> e base para a organização curricular, visando </w:t>
      </w:r>
      <w:r w:rsidRPr="00CA7147">
        <w:rPr>
          <w:rFonts w:ascii="Arial" w:hAnsi="Arial"/>
          <w:b/>
          <w:bCs/>
          <w:color w:val="000000"/>
          <w:lang w:val="pt-BR"/>
        </w:rPr>
        <w:t>à construção de competências profissionais</w:t>
      </w:r>
      <w:r w:rsidRPr="00CA7147">
        <w:rPr>
          <w:rFonts w:ascii="Arial" w:hAnsi="Arial"/>
          <w:color w:val="000000"/>
          <w:lang w:val="pt-BR"/>
        </w:rPr>
        <w:t xml:space="preserve">, em seus objetivos, conteúdos e estratégias de ensino e aprendizagem, na perspectiva de sua </w:t>
      </w:r>
      <w:r w:rsidRPr="00CA7147">
        <w:rPr>
          <w:rFonts w:ascii="Arial" w:hAnsi="Arial"/>
          <w:b/>
          <w:bCs/>
          <w:color w:val="000000"/>
          <w:lang w:val="pt-BR"/>
        </w:rPr>
        <w:t>integração com a ciência, a cultura e a tecnologia</w:t>
      </w:r>
      <w:r w:rsidRPr="00CA7147">
        <w:rPr>
          <w:rFonts w:ascii="Arial" w:hAnsi="Arial"/>
          <w:color w:val="000000"/>
          <w:lang w:val="pt-BR"/>
        </w:rPr>
        <w:t>;</w:t>
      </w:r>
    </w:p>
    <w:p w14:paraId="2A8D1BA8" w14:textId="77777777" w:rsidR="003E6792" w:rsidRPr="00CA7147" w:rsidRDefault="0038108D">
      <w:pPr>
        <w:ind w:leftChars="1000" w:left="2000"/>
        <w:jc w:val="both"/>
        <w:rPr>
          <w:rFonts w:ascii="Arial" w:hAnsi="Arial"/>
          <w:color w:val="000000"/>
          <w:lang w:val="pt-BR"/>
        </w:rPr>
      </w:pPr>
      <w:r w:rsidRPr="00CA7147">
        <w:rPr>
          <w:rFonts w:ascii="Arial" w:hAnsi="Arial"/>
          <w:color w:val="000000"/>
          <w:lang w:val="pt-BR"/>
        </w:rPr>
        <w:t>V</w:t>
      </w:r>
      <w:r w:rsidRPr="00CA7147">
        <w:rPr>
          <w:rFonts w:ascii="Arial" w:hAnsi="Arial"/>
          <w:color w:val="000000"/>
          <w:lang w:val="pt-BR"/>
        </w:rPr>
        <w:tab/>
        <w:t xml:space="preserve">- </w:t>
      </w:r>
      <w:proofErr w:type="gramStart"/>
      <w:r w:rsidRPr="00CA7147">
        <w:rPr>
          <w:rFonts w:ascii="Arial" w:hAnsi="Arial"/>
          <w:color w:val="000000"/>
          <w:lang w:val="pt-BR"/>
        </w:rPr>
        <w:t>estímulo</w:t>
      </w:r>
      <w:proofErr w:type="gramEnd"/>
      <w:r w:rsidRPr="00CA7147">
        <w:rPr>
          <w:rFonts w:ascii="Arial" w:hAnsi="Arial"/>
          <w:color w:val="000000"/>
          <w:lang w:val="pt-BR"/>
        </w:rPr>
        <w:t xml:space="preserve"> à adoção da </w:t>
      </w:r>
      <w:r w:rsidRPr="00CA7147">
        <w:rPr>
          <w:rFonts w:ascii="Arial" w:hAnsi="Arial"/>
          <w:b/>
          <w:bCs/>
          <w:color w:val="000000"/>
          <w:lang w:val="pt-BR"/>
        </w:rPr>
        <w:t>pesquisa como princípio pedagógico</w:t>
      </w:r>
      <w:r w:rsidRPr="00CA7147">
        <w:rPr>
          <w:rFonts w:ascii="Arial" w:hAnsi="Arial"/>
          <w:color w:val="000000"/>
          <w:lang w:val="pt-BR"/>
        </w:rPr>
        <w:t xml:space="preserve"> presente em um processo formativo voltado para um mundo permanentemente em transformação, </w:t>
      </w:r>
      <w:r w:rsidRPr="00CA7147">
        <w:rPr>
          <w:rFonts w:ascii="Arial" w:hAnsi="Arial"/>
          <w:b/>
          <w:bCs/>
          <w:color w:val="000000"/>
          <w:lang w:val="pt-BR"/>
        </w:rPr>
        <w:t>integrando saberes cognitivos e socioemocionais</w:t>
      </w:r>
      <w:r w:rsidRPr="00CA7147">
        <w:rPr>
          <w:rFonts w:ascii="Arial" w:hAnsi="Arial"/>
          <w:color w:val="000000"/>
          <w:lang w:val="pt-BR"/>
        </w:rPr>
        <w:t xml:space="preserve">, tanto para a </w:t>
      </w:r>
      <w:r w:rsidRPr="00CA7147">
        <w:rPr>
          <w:rFonts w:ascii="Arial" w:hAnsi="Arial"/>
          <w:b/>
          <w:bCs/>
          <w:color w:val="000000"/>
          <w:lang w:val="pt-BR"/>
        </w:rPr>
        <w:t>produção do conhecimento, da cultura e da tecnologia</w:t>
      </w:r>
      <w:r w:rsidRPr="00CA7147">
        <w:rPr>
          <w:rFonts w:ascii="Arial" w:hAnsi="Arial"/>
          <w:color w:val="000000"/>
          <w:lang w:val="pt-BR"/>
        </w:rPr>
        <w:t>, quanto para o desenvolvimento do trabalho e da intervenção que promova impacto social; (grifos nossos!)</w:t>
      </w:r>
    </w:p>
    <w:p w14:paraId="026AC0F8" w14:textId="46122298" w:rsidR="003E6792" w:rsidRPr="00CA7147" w:rsidRDefault="0038108D">
      <w:pPr>
        <w:spacing w:line="288" w:lineRule="auto"/>
        <w:jc w:val="both"/>
        <w:rPr>
          <w:rFonts w:ascii="Arial" w:hAnsi="Arial"/>
          <w:color w:val="000000"/>
          <w:sz w:val="24"/>
          <w:szCs w:val="24"/>
          <w:lang w:val="pt-BR"/>
        </w:rPr>
      </w:pP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Tal uso combinado desse conjunto de conceitos e expressões francamente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antagônicos</w:t>
      </w:r>
      <w:r w:rsidR="001404DB">
        <w:rPr>
          <w:rFonts w:ascii="Arial" w:hAnsi="Arial"/>
          <w:b/>
          <w:bCs/>
          <w:color w:val="000000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ao operar com vários hibridismos que estabelecem uma ambiguidade</w:t>
      </w:r>
      <w:r w:rsidR="001404DB">
        <w:rPr>
          <w:rFonts w:ascii="Arial" w:hAnsi="Arial"/>
          <w:color w:val="000000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visa ocultar as verdadeiras contradições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internas do seu conteúdo</w:t>
      </w:r>
      <w:r w:rsidR="001404DB">
        <w:rPr>
          <w:rFonts w:ascii="Arial" w:hAnsi="Arial"/>
          <w:color w:val="000000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fazendo parecer que tais diretrizes contemplariam práticas educacionais distintas</w:t>
      </w:r>
      <w:r w:rsidR="001404DB">
        <w:rPr>
          <w:rFonts w:ascii="Arial" w:hAnsi="Arial"/>
          <w:color w:val="000000"/>
          <w:sz w:val="24"/>
          <w:szCs w:val="24"/>
          <w:lang w:val="pt-BR"/>
        </w:rPr>
        <w:t>. Todavia, no fundo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se apropria de formulações avançadas para submetê-las aos seus eixos centrais que são: a privatização, a fragmentação e o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barateamento da educação básica e profissional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e a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 xml:space="preserve">desqualificação do ensino público 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com vistas </w:t>
      </w:r>
      <w:r w:rsidR="007D1D3A">
        <w:rPr>
          <w:rFonts w:ascii="Arial" w:hAnsi="Arial"/>
          <w:color w:val="000000"/>
          <w:sz w:val="24"/>
          <w:szCs w:val="24"/>
          <w:lang w:val="pt-BR"/>
        </w:rPr>
        <w:t xml:space="preserve">a 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seu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esvaziamento como direito social e sua transformação à condição de mercadoria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>.</w:t>
      </w:r>
    </w:p>
    <w:p w14:paraId="593FB478" w14:textId="1949A58F" w:rsidR="003E6792" w:rsidRPr="00CA7147" w:rsidRDefault="0038108D">
      <w:pPr>
        <w:spacing w:line="288" w:lineRule="auto"/>
        <w:jc w:val="both"/>
        <w:rPr>
          <w:rFonts w:ascii="Arial" w:hAnsi="Arial"/>
          <w:color w:val="000000"/>
          <w:sz w:val="24"/>
          <w:szCs w:val="24"/>
          <w:lang w:val="pt-BR"/>
        </w:rPr>
      </w:pPr>
      <w:r w:rsidRPr="00CA7147">
        <w:rPr>
          <w:rFonts w:ascii="Arial" w:hAnsi="Arial"/>
          <w:color w:val="000000"/>
          <w:sz w:val="24"/>
          <w:szCs w:val="24"/>
          <w:lang w:val="pt-BR"/>
        </w:rPr>
        <w:t>A EPTNM</w:t>
      </w:r>
      <w:r w:rsidR="00107D55">
        <w:rPr>
          <w:rStyle w:val="Refdenotaderodap"/>
          <w:rFonts w:ascii="Arial" w:hAnsi="Arial"/>
          <w:color w:val="000000"/>
          <w:sz w:val="24"/>
          <w:szCs w:val="24"/>
          <w:lang w:val="pt-BR"/>
        </w:rPr>
        <w:footnoteReference w:id="1"/>
      </w:r>
      <w:r w:rsidRPr="00CA7147">
        <w:rPr>
          <w:rFonts w:ascii="Arial" w:hAnsi="Arial"/>
          <w:color w:val="000000"/>
          <w:sz w:val="24"/>
          <w:szCs w:val="24"/>
          <w:lang w:val="pt-BR"/>
        </w:rPr>
        <w:t>, segundo as DCNEPT</w:t>
      </w:r>
      <w:r w:rsidR="00107D55">
        <w:rPr>
          <w:rFonts w:ascii="Arial" w:hAnsi="Arial"/>
          <w:color w:val="000000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pode ser proporcionada de forma integrada, concomitante, concomitante </w:t>
      </w:r>
      <w:proofErr w:type="spellStart"/>
      <w:r w:rsidRPr="00CA7147">
        <w:rPr>
          <w:rFonts w:ascii="Arial" w:hAnsi="Arial"/>
          <w:color w:val="000000"/>
          <w:sz w:val="24"/>
          <w:szCs w:val="24"/>
          <w:lang w:val="pt-BR"/>
        </w:rPr>
        <w:t>intercomplementar</w:t>
      </w:r>
      <w:proofErr w:type="spellEnd"/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e subsequente ao ensino médio. O texto prioriza, claramente, a forma concomitante, o que, por si só, já representa forte ameaça à continuidade da construção do Ensino Médio Integrado (EMI) como perspectiva formativa fundamentada na </w:t>
      </w:r>
      <w:proofErr w:type="spellStart"/>
      <w:r w:rsidRPr="00CA7147">
        <w:rPr>
          <w:rFonts w:ascii="Arial" w:hAnsi="Arial"/>
          <w:color w:val="000000"/>
          <w:sz w:val="24"/>
          <w:szCs w:val="24"/>
          <w:lang w:val="pt-BR"/>
        </w:rPr>
        <w:t>politecnia</w:t>
      </w:r>
      <w:proofErr w:type="spellEnd"/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, na </w:t>
      </w:r>
      <w:proofErr w:type="spellStart"/>
      <w:r w:rsidRPr="00CA7147">
        <w:rPr>
          <w:rFonts w:ascii="Arial" w:hAnsi="Arial"/>
          <w:color w:val="000000"/>
          <w:sz w:val="24"/>
          <w:szCs w:val="24"/>
          <w:lang w:val="pt-BR"/>
        </w:rPr>
        <w:t>omnilateralidade</w:t>
      </w:r>
      <w:proofErr w:type="spellEnd"/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e na escola unitária que convergem para uma concepção de formação humana integral do cidadão. Não obstante, ao analisar a proposta da forma integrada constante nas DCNEPT</w:t>
      </w:r>
      <w:r w:rsidR="00107D55">
        <w:rPr>
          <w:rFonts w:ascii="Arial" w:hAnsi="Arial"/>
          <w:color w:val="000000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constata-se sua total incoerência e antagonismo com o EMI que vem sendo construído tendo como base a concepção acima mencionada - formação humana integral.</w:t>
      </w:r>
    </w:p>
    <w:p w14:paraId="7BFB4F62" w14:textId="6F8E4F49" w:rsidR="003E6792" w:rsidRPr="00CA7147" w:rsidRDefault="00367C05">
      <w:pPr>
        <w:spacing w:line="288" w:lineRule="auto"/>
        <w:jc w:val="both"/>
        <w:rPr>
          <w:rFonts w:ascii="Arial" w:hAnsi="Arial"/>
          <w:color w:val="000000"/>
          <w:sz w:val="24"/>
          <w:szCs w:val="24"/>
          <w:lang w:val="pt-BR"/>
        </w:rPr>
      </w:pPr>
      <w:r>
        <w:rPr>
          <w:rFonts w:ascii="Arial" w:hAnsi="Arial"/>
          <w:color w:val="000000"/>
          <w:sz w:val="24"/>
          <w:szCs w:val="24"/>
          <w:lang w:val="pt-BR"/>
        </w:rPr>
        <w:t>Sobre o</w:t>
      </w:r>
      <w:r w:rsidR="0038108D" w:rsidRPr="00CA7147">
        <w:rPr>
          <w:rFonts w:ascii="Arial" w:hAnsi="Arial"/>
          <w:color w:val="000000"/>
          <w:sz w:val="24"/>
          <w:szCs w:val="24"/>
          <w:lang w:val="pt-BR"/>
        </w:rPr>
        <w:t xml:space="preserve"> modelo de organização curricular</w:t>
      </w:r>
      <w:r>
        <w:rPr>
          <w:rFonts w:ascii="Arial" w:hAnsi="Arial"/>
          <w:color w:val="000000"/>
          <w:sz w:val="24"/>
          <w:szCs w:val="24"/>
          <w:lang w:val="pt-BR"/>
        </w:rPr>
        <w:t>,</w:t>
      </w:r>
      <w:r w:rsidR="0038108D" w:rsidRPr="00CA7147">
        <w:rPr>
          <w:rFonts w:ascii="Arial" w:hAnsi="Arial"/>
          <w:color w:val="000000"/>
          <w:sz w:val="24"/>
          <w:szCs w:val="24"/>
          <w:lang w:val="pt-BR"/>
        </w:rPr>
        <w:t xml:space="preserve"> </w:t>
      </w:r>
      <w:r w:rsidR="001D0F25" w:rsidRPr="00CA7147">
        <w:rPr>
          <w:rFonts w:ascii="Arial" w:hAnsi="Arial"/>
          <w:color w:val="000000"/>
          <w:sz w:val="24"/>
          <w:szCs w:val="24"/>
          <w:lang w:val="pt-BR"/>
        </w:rPr>
        <w:t xml:space="preserve">segundo as DCNEPT, </w:t>
      </w:r>
      <w:r>
        <w:rPr>
          <w:rFonts w:ascii="Arial" w:hAnsi="Arial"/>
          <w:color w:val="000000"/>
          <w:sz w:val="24"/>
          <w:szCs w:val="24"/>
          <w:lang w:val="pt-BR"/>
        </w:rPr>
        <w:t xml:space="preserve">é </w:t>
      </w:r>
      <w:r w:rsidR="001D0F25" w:rsidRPr="00CA7147">
        <w:rPr>
          <w:rFonts w:ascii="Arial" w:hAnsi="Arial"/>
          <w:color w:val="000000"/>
          <w:sz w:val="24"/>
          <w:szCs w:val="24"/>
          <w:lang w:val="pt-BR"/>
        </w:rPr>
        <w:t xml:space="preserve">a </w:t>
      </w:r>
      <w:r w:rsidR="0038108D" w:rsidRPr="00CA7147">
        <w:rPr>
          <w:rFonts w:ascii="Arial" w:hAnsi="Arial"/>
          <w:color w:val="000000"/>
          <w:sz w:val="24"/>
          <w:szCs w:val="24"/>
          <w:lang w:val="pt-BR"/>
        </w:rPr>
        <w:t>BNCC seguida do itinerário Formação Técnica e Profissional que corresponde à forma integrada de articulação entre o ensino médio e a EPTN</w:t>
      </w:r>
      <w:r w:rsidR="001D0F25" w:rsidRPr="00CA7147">
        <w:rPr>
          <w:rFonts w:ascii="Arial" w:hAnsi="Arial"/>
          <w:color w:val="000000"/>
          <w:sz w:val="24"/>
          <w:szCs w:val="24"/>
          <w:lang w:val="pt-BR"/>
        </w:rPr>
        <w:t>.</w:t>
      </w:r>
      <w:r w:rsidR="00CA7147" w:rsidRPr="00CA7147">
        <w:rPr>
          <w:rFonts w:ascii="Arial" w:hAnsi="Arial"/>
          <w:color w:val="000000"/>
          <w:sz w:val="24"/>
          <w:szCs w:val="24"/>
          <w:lang w:val="pt-BR"/>
        </w:rPr>
        <w:t xml:space="preserve"> </w:t>
      </w:r>
      <w:r w:rsidR="0038108D" w:rsidRPr="00CA7147">
        <w:rPr>
          <w:rFonts w:ascii="Arial" w:hAnsi="Arial"/>
          <w:color w:val="000000"/>
          <w:sz w:val="24"/>
          <w:szCs w:val="24"/>
          <w:lang w:val="pt-BR"/>
        </w:rPr>
        <w:t xml:space="preserve">Não obstante, uma análise não muito aprofundada permite concluir que não há compatibilidade alguma entre a concepção de EMI e o que as DCNEPT apresentam como sendo a forma integrada. </w:t>
      </w:r>
    </w:p>
    <w:p w14:paraId="7321631A" w14:textId="7AEF5DA7" w:rsidR="003E6792" w:rsidRDefault="0038108D">
      <w:pPr>
        <w:spacing w:line="288" w:lineRule="auto"/>
        <w:jc w:val="both"/>
        <w:rPr>
          <w:rFonts w:ascii="Arial" w:hAnsi="Arial"/>
          <w:color w:val="000000"/>
          <w:sz w:val="24"/>
          <w:szCs w:val="24"/>
          <w:lang w:val="pt-BR"/>
        </w:rPr>
      </w:pPr>
      <w:r w:rsidRPr="00CA7147">
        <w:rPr>
          <w:rFonts w:ascii="Arial" w:hAnsi="Arial"/>
          <w:color w:val="000000"/>
          <w:sz w:val="24"/>
          <w:szCs w:val="24"/>
          <w:lang w:val="pt-BR"/>
        </w:rPr>
        <w:lastRenderedPageBreak/>
        <w:t>A fragmentação dos processos formativos é explícita, principalmente, em:</w:t>
      </w:r>
    </w:p>
    <w:p w14:paraId="4BE8C920" w14:textId="77777777" w:rsidR="00CA7147" w:rsidRPr="00CA7147" w:rsidRDefault="00CA7147">
      <w:pPr>
        <w:spacing w:line="288" w:lineRule="auto"/>
        <w:jc w:val="both"/>
        <w:rPr>
          <w:rFonts w:ascii="Arial" w:hAnsi="Arial"/>
          <w:color w:val="000000"/>
          <w:sz w:val="24"/>
          <w:szCs w:val="24"/>
          <w:lang w:val="pt-BR"/>
        </w:rPr>
      </w:pPr>
    </w:p>
    <w:p w14:paraId="62E3CA10" w14:textId="77777777" w:rsidR="003E6792" w:rsidRPr="00CA7147" w:rsidRDefault="0038108D">
      <w:pPr>
        <w:pStyle w:val="NormalWeb"/>
        <w:spacing w:beforeAutospacing="0" w:afterAutospacing="0"/>
        <w:ind w:leftChars="1000" w:left="2000"/>
        <w:jc w:val="both"/>
        <w:rPr>
          <w:rFonts w:ascii="Arial" w:hAnsi="Arial" w:cs="Arial"/>
          <w:color w:val="000000"/>
          <w:szCs w:val="20"/>
          <w:lang w:val="pt-BR"/>
        </w:rPr>
      </w:pPr>
      <w:r w:rsidRPr="00CA7147">
        <w:rPr>
          <w:rFonts w:ascii="Arial" w:hAnsi="Arial" w:cs="Arial"/>
          <w:color w:val="000000"/>
          <w:szCs w:val="20"/>
          <w:lang w:val="pt-BR"/>
        </w:rPr>
        <w:t>Art. 15. A Educação Profissional Técnica de Nível Médio abrange:</w:t>
      </w:r>
    </w:p>
    <w:p w14:paraId="57CBBE20" w14:textId="77777777" w:rsidR="003E6792" w:rsidRPr="00CA7147" w:rsidRDefault="0038108D">
      <w:pPr>
        <w:pStyle w:val="NormalWeb"/>
        <w:spacing w:beforeAutospacing="0" w:afterAutospacing="0"/>
        <w:ind w:leftChars="1000" w:left="2000"/>
        <w:jc w:val="both"/>
        <w:rPr>
          <w:rFonts w:ascii="Arial" w:hAnsi="Arial" w:cs="Arial"/>
          <w:color w:val="000000"/>
          <w:szCs w:val="20"/>
          <w:lang w:val="pt-BR"/>
        </w:rPr>
      </w:pPr>
      <w:r w:rsidRPr="00CA7147">
        <w:rPr>
          <w:rFonts w:ascii="Arial" w:hAnsi="Arial" w:cs="Arial"/>
          <w:color w:val="000000"/>
          <w:szCs w:val="20"/>
          <w:lang w:val="pt-BR"/>
        </w:rPr>
        <w:t xml:space="preserve">I - </w:t>
      </w:r>
      <w:proofErr w:type="gramStart"/>
      <w:r w:rsidRPr="00CA7147">
        <w:rPr>
          <w:rFonts w:ascii="Arial" w:hAnsi="Arial" w:cs="Arial"/>
          <w:color w:val="000000"/>
          <w:szCs w:val="20"/>
          <w:lang w:val="pt-BR"/>
        </w:rPr>
        <w:t>habilitação</w:t>
      </w:r>
      <w:proofErr w:type="gramEnd"/>
      <w:r w:rsidRPr="00CA7147">
        <w:rPr>
          <w:rFonts w:ascii="Arial" w:hAnsi="Arial" w:cs="Arial"/>
          <w:color w:val="000000"/>
          <w:szCs w:val="20"/>
          <w:lang w:val="pt-BR"/>
        </w:rPr>
        <w:t xml:space="preserve"> profissional técnica, relacionada ao curso técnico;</w:t>
      </w:r>
    </w:p>
    <w:p w14:paraId="3E49A432" w14:textId="3D930CF2" w:rsidR="003E6792" w:rsidRPr="00CA7147" w:rsidRDefault="0038108D">
      <w:pPr>
        <w:pStyle w:val="NormalWeb"/>
        <w:spacing w:beforeAutospacing="0" w:afterAutospacing="0"/>
        <w:ind w:leftChars="1000" w:left="2000"/>
        <w:jc w:val="both"/>
        <w:rPr>
          <w:color w:val="000000"/>
          <w:sz w:val="28"/>
          <w:szCs w:val="28"/>
          <w:lang w:val="pt-BR"/>
        </w:rPr>
      </w:pPr>
      <w:r w:rsidRPr="00CA7147">
        <w:rPr>
          <w:rFonts w:ascii="Arial" w:hAnsi="Arial" w:cs="Arial"/>
          <w:color w:val="000000"/>
          <w:szCs w:val="20"/>
          <w:lang w:val="pt-BR"/>
        </w:rPr>
        <w:t xml:space="preserve">II - </w:t>
      </w:r>
      <w:proofErr w:type="gramStart"/>
      <w:r w:rsidRPr="00CA7147">
        <w:rPr>
          <w:rFonts w:ascii="Arial" w:hAnsi="Arial" w:cs="Arial"/>
          <w:color w:val="000000"/>
          <w:szCs w:val="20"/>
          <w:lang w:val="pt-BR"/>
        </w:rPr>
        <w:t>qualificação</w:t>
      </w:r>
      <w:proofErr w:type="gramEnd"/>
      <w:r w:rsidRPr="00CA7147">
        <w:rPr>
          <w:rFonts w:ascii="Arial" w:hAnsi="Arial" w:cs="Arial"/>
          <w:color w:val="000000"/>
          <w:szCs w:val="20"/>
          <w:lang w:val="pt-BR"/>
        </w:rPr>
        <w:t xml:space="preserve"> profissional técnica, como etapa com terminalidade de</w:t>
      </w:r>
      <w:r w:rsidR="006D7C4C" w:rsidRPr="00CA7147">
        <w:rPr>
          <w:rFonts w:ascii="Arial" w:hAnsi="Arial" w:cs="Arial"/>
          <w:color w:val="000000"/>
          <w:szCs w:val="20"/>
          <w:lang w:val="pt-BR"/>
        </w:rPr>
        <w:t>-</w:t>
      </w:r>
      <w:r w:rsidRPr="00CA7147">
        <w:rPr>
          <w:rFonts w:ascii="Arial" w:hAnsi="Arial" w:cs="Arial"/>
          <w:color w:val="000000"/>
          <w:szCs w:val="20"/>
          <w:lang w:val="pt-BR"/>
        </w:rPr>
        <w:t xml:space="preserve"> curso técnico;</w:t>
      </w:r>
      <w:r w:rsidRPr="00CA7147">
        <w:rPr>
          <w:color w:val="000000"/>
          <w:sz w:val="28"/>
          <w:szCs w:val="28"/>
          <w:lang w:val="pt-BR"/>
        </w:rPr>
        <w:t xml:space="preserve"> </w:t>
      </w:r>
    </w:p>
    <w:p w14:paraId="2A2CF273" w14:textId="77777777" w:rsidR="003E6792" w:rsidRPr="00CA7147" w:rsidRDefault="0038108D">
      <w:pPr>
        <w:pStyle w:val="NormalWeb"/>
        <w:spacing w:beforeAutospacing="0" w:afterAutospacing="0"/>
        <w:ind w:leftChars="1000" w:left="2000"/>
        <w:jc w:val="both"/>
        <w:rPr>
          <w:color w:val="000000"/>
          <w:sz w:val="28"/>
          <w:szCs w:val="28"/>
          <w:lang w:val="pt-BR"/>
        </w:rPr>
      </w:pPr>
      <w:r w:rsidRPr="00CA7147">
        <w:rPr>
          <w:rFonts w:ascii="Arial" w:hAnsi="Arial" w:cs="Arial"/>
          <w:color w:val="000000"/>
          <w:szCs w:val="20"/>
          <w:lang w:val="pt-BR"/>
        </w:rPr>
        <w:t>[...]</w:t>
      </w:r>
    </w:p>
    <w:p w14:paraId="195DE8EA" w14:textId="77777777" w:rsidR="003E6792" w:rsidRPr="00CA7147" w:rsidRDefault="0038108D">
      <w:pPr>
        <w:pStyle w:val="NormalWeb"/>
        <w:spacing w:beforeAutospacing="0" w:afterAutospacing="0"/>
        <w:ind w:leftChars="1000" w:left="2000"/>
        <w:jc w:val="both"/>
        <w:rPr>
          <w:rFonts w:ascii="Arial" w:hAnsi="Arial" w:cs="Arial"/>
          <w:color w:val="000000"/>
          <w:szCs w:val="20"/>
          <w:lang w:val="pt-BR"/>
        </w:rPr>
      </w:pPr>
      <w:r w:rsidRPr="00CA7147">
        <w:rPr>
          <w:rFonts w:ascii="Arial" w:hAnsi="Arial" w:cs="Arial"/>
          <w:color w:val="000000"/>
          <w:szCs w:val="20"/>
          <w:lang w:val="pt-BR"/>
        </w:rPr>
        <w:t xml:space="preserve">§ 2º </w:t>
      </w:r>
      <w:r w:rsidRPr="00CA7147">
        <w:rPr>
          <w:rFonts w:ascii="Arial" w:hAnsi="Arial" w:cs="Arial"/>
          <w:b/>
          <w:bCs/>
          <w:color w:val="000000"/>
          <w:szCs w:val="20"/>
          <w:lang w:val="pt-BR"/>
        </w:rPr>
        <w:t>A qualificação profissional</w:t>
      </w:r>
      <w:r w:rsidRPr="00CA7147">
        <w:rPr>
          <w:rFonts w:ascii="Arial" w:hAnsi="Arial" w:cs="Arial"/>
          <w:color w:val="000000"/>
          <w:szCs w:val="20"/>
          <w:lang w:val="pt-BR"/>
        </w:rPr>
        <w:t xml:space="preserve"> </w:t>
      </w:r>
      <w:r w:rsidRPr="00CA7147">
        <w:rPr>
          <w:rFonts w:ascii="Arial" w:hAnsi="Arial" w:cs="Arial"/>
          <w:b/>
          <w:bCs/>
          <w:color w:val="000000"/>
          <w:szCs w:val="20"/>
          <w:lang w:val="pt-BR"/>
        </w:rPr>
        <w:t>como parte integrante do itinerário da formação técnica e profissional do Ensino Médio</w:t>
      </w:r>
      <w:r w:rsidRPr="00CA7147">
        <w:rPr>
          <w:rFonts w:ascii="Arial" w:hAnsi="Arial" w:cs="Arial"/>
          <w:color w:val="000000"/>
          <w:szCs w:val="20"/>
          <w:lang w:val="pt-BR"/>
        </w:rPr>
        <w:t xml:space="preserve"> </w:t>
      </w:r>
      <w:r w:rsidRPr="00CA7147">
        <w:rPr>
          <w:rFonts w:ascii="Arial" w:hAnsi="Arial" w:cs="Arial"/>
          <w:b/>
          <w:bCs/>
          <w:color w:val="000000"/>
          <w:szCs w:val="20"/>
          <w:lang w:val="pt-BR"/>
        </w:rPr>
        <w:t>será ofertada por meio de um ou mais cursos de qualificação profissional</w:t>
      </w:r>
      <w:r w:rsidRPr="00CA7147">
        <w:rPr>
          <w:rFonts w:ascii="Arial" w:hAnsi="Arial" w:cs="Arial"/>
          <w:color w:val="000000"/>
          <w:szCs w:val="20"/>
          <w:lang w:val="pt-BR"/>
        </w:rPr>
        <w:t xml:space="preserve">, nos termos das Diretrizes Curriculares Nacionais para o Ensino Médio (DCNEM) desde que articulados entre si, que compreendam </w:t>
      </w:r>
      <w:r w:rsidRPr="00CA7147">
        <w:rPr>
          <w:rFonts w:ascii="Arial" w:hAnsi="Arial" w:cs="Arial"/>
          <w:b/>
          <w:bCs/>
          <w:color w:val="000000"/>
          <w:szCs w:val="20"/>
          <w:lang w:val="pt-BR"/>
        </w:rPr>
        <w:t xml:space="preserve">saídas intermediárias reconhecidas pelo mercado de trabalho. </w:t>
      </w:r>
      <w:r w:rsidRPr="00CA7147">
        <w:rPr>
          <w:rFonts w:ascii="Arial" w:hAnsi="Arial" w:cs="Arial"/>
          <w:color w:val="000000"/>
          <w:szCs w:val="20"/>
          <w:lang w:val="pt-BR"/>
        </w:rPr>
        <w:t>(grifos nossos)</w:t>
      </w:r>
    </w:p>
    <w:p w14:paraId="42BD2942" w14:textId="77777777" w:rsidR="003E6792" w:rsidRPr="00CA7147" w:rsidRDefault="0038108D">
      <w:pPr>
        <w:pStyle w:val="NormalWeb"/>
        <w:spacing w:beforeAutospacing="0" w:afterAutospacing="0"/>
        <w:ind w:leftChars="1000" w:left="2000"/>
        <w:jc w:val="both"/>
        <w:rPr>
          <w:rFonts w:ascii="Arial" w:hAnsi="Arial" w:cs="Arial"/>
          <w:color w:val="000000"/>
          <w:szCs w:val="20"/>
          <w:lang w:val="pt-BR"/>
        </w:rPr>
      </w:pPr>
      <w:r w:rsidRPr="00CA7147">
        <w:rPr>
          <w:rFonts w:ascii="Arial" w:hAnsi="Arial" w:cs="Arial"/>
          <w:color w:val="000000"/>
          <w:szCs w:val="20"/>
          <w:lang w:val="pt-BR"/>
        </w:rPr>
        <w:t xml:space="preserve">Art. 23. O planejamento curricular [...] é definido pela explicitação dos </w:t>
      </w:r>
      <w:r w:rsidRPr="00CA7147">
        <w:rPr>
          <w:rFonts w:ascii="Arial" w:hAnsi="Arial" w:cs="Arial"/>
          <w:b/>
          <w:bCs/>
          <w:color w:val="000000"/>
          <w:szCs w:val="20"/>
          <w:lang w:val="pt-BR"/>
        </w:rPr>
        <w:t>conhecimentos, habilidades, atitudes, valores e emoções,</w:t>
      </w:r>
      <w:r w:rsidRPr="00CA7147">
        <w:rPr>
          <w:rFonts w:ascii="Arial" w:hAnsi="Arial" w:cs="Arial"/>
          <w:color w:val="000000"/>
          <w:szCs w:val="20"/>
          <w:lang w:val="pt-BR"/>
        </w:rPr>
        <w:t xml:space="preserve"> compreendidos </w:t>
      </w:r>
      <w:r w:rsidRPr="00CA7147">
        <w:rPr>
          <w:rFonts w:ascii="Arial" w:hAnsi="Arial" w:cs="Arial"/>
          <w:b/>
          <w:bCs/>
          <w:color w:val="000000"/>
          <w:szCs w:val="20"/>
          <w:lang w:val="pt-BR"/>
        </w:rPr>
        <w:t>nas competências profissionais e pessoais</w:t>
      </w:r>
      <w:r w:rsidRPr="00CA7147">
        <w:rPr>
          <w:rFonts w:ascii="Arial" w:hAnsi="Arial" w:cs="Arial"/>
          <w:color w:val="000000"/>
          <w:szCs w:val="20"/>
          <w:lang w:val="pt-BR"/>
        </w:rPr>
        <w:t xml:space="preserve">, que devem ser </w:t>
      </w:r>
      <w:r w:rsidRPr="00CA7147">
        <w:rPr>
          <w:rFonts w:ascii="Arial" w:hAnsi="Arial" w:cs="Arial"/>
          <w:b/>
          <w:bCs/>
          <w:color w:val="000000"/>
          <w:szCs w:val="20"/>
          <w:lang w:val="pt-BR"/>
        </w:rPr>
        <w:t>garantidos ao final de cada habilitação profissional técnica e das respectivas saídas intermediárias</w:t>
      </w:r>
      <w:r w:rsidRPr="00CA7147">
        <w:rPr>
          <w:rFonts w:ascii="Arial" w:hAnsi="Arial" w:cs="Arial"/>
          <w:color w:val="000000"/>
          <w:szCs w:val="20"/>
          <w:lang w:val="pt-BR"/>
        </w:rPr>
        <w:t xml:space="preserve"> correspondentes às etapas de qualificação profissional técnica; </w:t>
      </w:r>
      <w:proofErr w:type="gramStart"/>
      <w:r w:rsidRPr="00CA7147">
        <w:rPr>
          <w:rFonts w:ascii="Arial" w:hAnsi="Arial" w:cs="Arial"/>
          <w:color w:val="000000"/>
          <w:szCs w:val="20"/>
          <w:lang w:val="pt-BR"/>
        </w:rPr>
        <w:t>[...].(</w:t>
      </w:r>
      <w:proofErr w:type="gramEnd"/>
      <w:r w:rsidRPr="00CA7147">
        <w:rPr>
          <w:rFonts w:ascii="Arial" w:hAnsi="Arial" w:cs="Arial"/>
          <w:color w:val="000000"/>
          <w:szCs w:val="20"/>
          <w:lang w:val="pt-BR"/>
        </w:rPr>
        <w:t>grifos nossos)</w:t>
      </w:r>
    </w:p>
    <w:p w14:paraId="6DE4910E" w14:textId="77777777" w:rsidR="003E6792" w:rsidRPr="00CA7147" w:rsidRDefault="003E6792">
      <w:pPr>
        <w:pStyle w:val="NormalWeb"/>
        <w:spacing w:beforeAutospacing="0" w:afterAutospacing="0"/>
        <w:ind w:firstLineChars="250" w:firstLine="700"/>
        <w:jc w:val="both"/>
        <w:rPr>
          <w:color w:val="000000"/>
          <w:sz w:val="28"/>
          <w:szCs w:val="28"/>
          <w:lang w:val="pt-BR"/>
        </w:rPr>
      </w:pPr>
    </w:p>
    <w:p w14:paraId="58C375EC" w14:textId="4184A811" w:rsidR="00FC533E" w:rsidRDefault="0038108D">
      <w:pPr>
        <w:spacing w:line="288" w:lineRule="auto"/>
        <w:jc w:val="both"/>
        <w:rPr>
          <w:rFonts w:ascii="Arial" w:hAnsi="Arial"/>
          <w:color w:val="000000"/>
          <w:sz w:val="24"/>
          <w:szCs w:val="24"/>
          <w:lang w:val="pt-BR"/>
        </w:rPr>
      </w:pP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Nos artigos 15 e 23, acima transcritos, explicita-se essa fragmentação. Em primeiro lugar, o itinerário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Formação Técnica e Profissional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alberga dois tipos de formação: habilitação mediante conclusão de um curso técnico de nível médio,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Formação Técnica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, conforme CNCT; habilitação por meio de um conjunto de cursos de qualificação profissional, regulados pela </w:t>
      </w:r>
      <w:r w:rsidRPr="00CA7147">
        <w:rPr>
          <w:rFonts w:ascii="Arial" w:hAnsi="Arial" w:cs="Arial"/>
          <w:color w:val="000000"/>
          <w:sz w:val="24"/>
          <w:szCs w:val="24"/>
          <w:lang w:val="pt-BR"/>
        </w:rPr>
        <w:t>Classificação Brasileira de Ocupações (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CBO),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Formação Profissional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. Nessa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 xml:space="preserve">Formação Profissional, 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o estudante receberá certificação de conclusão de ensino médio, mas não será técnico de nível médio, </w:t>
      </w:r>
      <w:r w:rsidR="00FC533E">
        <w:rPr>
          <w:rFonts w:ascii="Arial" w:hAnsi="Arial"/>
          <w:color w:val="000000"/>
          <w:sz w:val="24"/>
          <w:szCs w:val="24"/>
          <w:lang w:val="pt-BR"/>
        </w:rPr>
        <w:t>porém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detentor de um conjunto de qualificações de curta duração desarticuladas entre si e completamente fragmentadas. Mas, o problema da fragmentação também está presente na habilitação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Formação Técnica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>, conforme explicitado no Art. 23 ao mencionar as saídas intermediárias. Ou seja, a própria habilitação técnica será organizada de forma fragmentada.</w:t>
      </w:r>
    </w:p>
    <w:p w14:paraId="749DBC3F" w14:textId="19307A75" w:rsidR="003E6792" w:rsidRPr="00CA7147" w:rsidRDefault="0038108D">
      <w:pPr>
        <w:spacing w:line="288" w:lineRule="auto"/>
        <w:jc w:val="both"/>
        <w:rPr>
          <w:rFonts w:ascii="Arial" w:hAnsi="Arial"/>
          <w:color w:val="000000"/>
          <w:sz w:val="24"/>
          <w:szCs w:val="24"/>
          <w:lang w:val="pt-BR"/>
        </w:rPr>
      </w:pPr>
      <w:r w:rsidRPr="00CA7147">
        <w:rPr>
          <w:rFonts w:ascii="Arial" w:hAnsi="Arial"/>
          <w:color w:val="000000"/>
          <w:sz w:val="24"/>
          <w:szCs w:val="24"/>
          <w:lang w:val="pt-BR"/>
        </w:rPr>
        <w:t>Além disso, a prática profissional, elemento estruturante do processo formativo teórico-prático, quando inserida no contexto de uma oferta não presencial</w:t>
      </w:r>
      <w:r w:rsidR="00FC533E">
        <w:rPr>
          <w:rFonts w:ascii="Arial" w:hAnsi="Arial"/>
          <w:color w:val="000000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como é autorizado pelas </w:t>
      </w:r>
      <w:proofErr w:type="spellStart"/>
      <w:r w:rsidRPr="00CA7147">
        <w:rPr>
          <w:rFonts w:ascii="Arial" w:hAnsi="Arial"/>
          <w:color w:val="000000"/>
          <w:sz w:val="24"/>
          <w:szCs w:val="24"/>
          <w:lang w:val="pt-BR"/>
        </w:rPr>
        <w:t>DCNs</w:t>
      </w:r>
      <w:proofErr w:type="spellEnd"/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, perde seu sentido humano-operacional ao permitir que os educandos se formem numa profissão sem vivenciarem o sentido ontocriativo do trabalho. A combinação da EPT com a EAD possibilita, ainda, o barateamento da oferta da educação profissional que prescindirá de infraestrutura, podendo reduzir-se </w:t>
      </w:r>
      <w:r w:rsidR="00AA1F93" w:rsidRPr="00CA7147">
        <w:rPr>
          <w:rFonts w:ascii="Arial" w:hAnsi="Arial"/>
          <w:color w:val="000000"/>
          <w:sz w:val="24"/>
          <w:szCs w:val="24"/>
          <w:lang w:val="pt-BR"/>
        </w:rPr>
        <w:t xml:space="preserve">ao uso de 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>vídeos e simulações sem a participação direta dos educandos no processo de trabalho.</w:t>
      </w:r>
    </w:p>
    <w:p w14:paraId="624BA7F5" w14:textId="3C78BB66" w:rsidR="003E6792" w:rsidRDefault="0038108D">
      <w:pPr>
        <w:jc w:val="both"/>
        <w:rPr>
          <w:rFonts w:ascii="Arial" w:hAnsi="Arial"/>
          <w:color w:val="000000"/>
          <w:sz w:val="24"/>
          <w:szCs w:val="24"/>
          <w:lang w:val="pt-BR"/>
        </w:rPr>
      </w:pP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Já o Art. 26 se encarrega de determinar a limitação do acesso dos estudantes aos conhecimentos, ao estabelecer em seu § 1º que </w:t>
      </w:r>
    </w:p>
    <w:p w14:paraId="7EBA0BAC" w14:textId="77777777" w:rsidR="00CA7147" w:rsidRPr="00CA7147" w:rsidRDefault="00CA7147">
      <w:pPr>
        <w:jc w:val="both"/>
        <w:rPr>
          <w:rFonts w:ascii="Arial" w:hAnsi="Arial"/>
          <w:color w:val="000000"/>
          <w:sz w:val="24"/>
          <w:szCs w:val="24"/>
          <w:lang w:val="pt-BR"/>
        </w:rPr>
      </w:pPr>
    </w:p>
    <w:p w14:paraId="7B8139A2" w14:textId="425EBA99" w:rsidR="003E6792" w:rsidRDefault="0038108D">
      <w:pPr>
        <w:ind w:leftChars="1000" w:left="2000"/>
        <w:jc w:val="both"/>
        <w:rPr>
          <w:rFonts w:ascii="Arial" w:hAnsi="Arial" w:cs="Arial"/>
          <w:color w:val="000000"/>
          <w:lang w:val="pt-BR"/>
        </w:rPr>
      </w:pPr>
      <w:r w:rsidRPr="00CA7147">
        <w:rPr>
          <w:rFonts w:ascii="Arial" w:hAnsi="Arial" w:cs="Arial"/>
          <w:color w:val="000000"/>
          <w:lang w:val="pt-BR"/>
        </w:rPr>
        <w:t xml:space="preserve">Os cursos de qualificação profissional técnica e os cursos técnicos, na forma articulada, integrada com o Ensino Médio ou com este concomitante [...] terão carga horária que, em conjunto com a de formação geral, totalizará, no mínimo, 3.000 (três mil) horas [...] </w:t>
      </w:r>
      <w:r w:rsidRPr="00CA7147">
        <w:rPr>
          <w:rFonts w:ascii="Arial" w:hAnsi="Arial" w:cs="Arial"/>
          <w:b/>
          <w:bCs/>
          <w:color w:val="000000"/>
          <w:lang w:val="pt-BR"/>
        </w:rPr>
        <w:t>garantindo-se carga horária máxima de 1.800</w:t>
      </w:r>
      <w:r w:rsidRPr="00CA7147">
        <w:rPr>
          <w:rFonts w:ascii="Arial" w:hAnsi="Arial" w:cs="Arial"/>
          <w:color w:val="000000"/>
          <w:lang w:val="pt-BR"/>
        </w:rPr>
        <w:t xml:space="preserve"> (mil e oitocentas) horas para a BNCC [...]. (grifo nosso)</w:t>
      </w:r>
    </w:p>
    <w:p w14:paraId="472955D3" w14:textId="77777777" w:rsidR="00CA7147" w:rsidRPr="00CA7147" w:rsidRDefault="00CA7147">
      <w:pPr>
        <w:ind w:leftChars="1000" w:left="2000"/>
        <w:jc w:val="both"/>
        <w:rPr>
          <w:rFonts w:ascii="Arial" w:hAnsi="Arial"/>
          <w:color w:val="000000"/>
          <w:sz w:val="24"/>
          <w:szCs w:val="24"/>
          <w:lang w:val="pt-BR"/>
        </w:rPr>
      </w:pPr>
    </w:p>
    <w:p w14:paraId="65BD01B2" w14:textId="7B218ADC" w:rsidR="003E6792" w:rsidRPr="00CA7147" w:rsidRDefault="0038108D">
      <w:pPr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A limitação de carga horária da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BNCC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(máximo de 1800 horas) e sua natureza conceitual e epistemológica empobrece e corrói a educação geral antes prevista como conjunto de conhecimentos do ensino médio</w:t>
      </w:r>
      <w:r w:rsidR="00FC533E">
        <w:rPr>
          <w:rFonts w:ascii="Arial" w:hAnsi="Arial"/>
          <w:color w:val="000000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 xml:space="preserve">impedindo que 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>seu conteúdo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 xml:space="preserve"> ofereça a compreensão dos fundamentos científicos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da produção moderna. 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Este é um dos problemas extremamente graves, pois limita diretamente o acesso dos estudantes aos conhecimentos ao adotar como referência não um mínimo, mas um máximo de carga horária. Assim, a racionalidade que emana na norma é de que há um máximo de conhecimentos a serem adquiridos e que o cidadão não pode ir além daquele teto, o que</w:t>
      </w:r>
      <w:r w:rsidR="00FC533E">
        <w:rPr>
          <w:rFonts w:ascii="Arial" w:hAnsi="Arial"/>
          <w:color w:val="000000" w:themeColor="text1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evidentemente, somente se aplicará, na prática, aos estudantes provenientes dos fragmentos da classe trabalhadora</w:t>
      </w:r>
      <w:r w:rsidR="00CA7147" w:rsidRPr="00CA7147">
        <w:rPr>
          <w:rFonts w:ascii="Arial" w:hAnsi="Arial"/>
          <w:color w:val="000000" w:themeColor="text1"/>
          <w:sz w:val="24"/>
          <w:szCs w:val="24"/>
          <w:lang w:val="pt-BR"/>
        </w:rPr>
        <w:t>.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É óbvio que os filhos dos estratos mais bem aquinhoados não estão abrangidos por essa restrição. </w:t>
      </w:r>
    </w:p>
    <w:p w14:paraId="1EF6EAEC" w14:textId="77777777" w:rsidR="003E6792" w:rsidRPr="00CA7147" w:rsidRDefault="0038108D">
      <w:pPr>
        <w:jc w:val="both"/>
        <w:rPr>
          <w:rFonts w:ascii="Arial" w:hAnsi="Arial"/>
          <w:sz w:val="24"/>
          <w:szCs w:val="24"/>
          <w:lang w:val="pt-BR"/>
        </w:rPr>
      </w:pPr>
      <w:r w:rsidRPr="00CA7147">
        <w:rPr>
          <w:rFonts w:ascii="Arial" w:hAnsi="Arial"/>
          <w:sz w:val="24"/>
          <w:szCs w:val="24"/>
          <w:lang w:val="pt-BR"/>
        </w:rPr>
        <w:t xml:space="preserve">Outro aspecto estarrecedor das DCNEPT é a defesa incondicional da atuação dos “profissionais com </w:t>
      </w:r>
      <w:r w:rsidRPr="00CA7147">
        <w:rPr>
          <w:rFonts w:ascii="Arial" w:hAnsi="Arial"/>
          <w:b/>
          <w:bCs/>
          <w:sz w:val="24"/>
          <w:szCs w:val="24"/>
          <w:lang w:val="pt-BR"/>
        </w:rPr>
        <w:t>notório saber</w:t>
      </w:r>
      <w:r w:rsidRPr="00CA7147">
        <w:rPr>
          <w:rFonts w:ascii="Arial" w:hAnsi="Arial"/>
          <w:sz w:val="24"/>
          <w:szCs w:val="24"/>
          <w:lang w:val="pt-BR"/>
        </w:rPr>
        <w:t>” no itinerário formativo “formação técnica e profissional” e a compreensão assumida sobre o perfil desses profissionais, quando comparados aos professores que atuam na educação básica. O Relatório do Parecer CNE/CP n</w:t>
      </w:r>
      <w:r w:rsidRPr="00CA7147">
        <w:rPr>
          <w:rFonts w:ascii="Arial" w:hAnsi="Arial"/>
          <w:sz w:val="24"/>
          <w:szCs w:val="24"/>
          <w:vertAlign w:val="superscript"/>
          <w:lang w:val="pt-BR"/>
        </w:rPr>
        <w:t>0</w:t>
      </w:r>
      <w:r w:rsidRPr="00CA7147">
        <w:rPr>
          <w:rFonts w:ascii="Arial" w:hAnsi="Arial"/>
          <w:sz w:val="24"/>
          <w:szCs w:val="24"/>
          <w:lang w:val="pt-BR"/>
        </w:rPr>
        <w:t xml:space="preserve"> 17/2020, o qual deu origem às DCNEPT, defende que os estudantes do ensino médio que cursarem o itinerário Formação Técnica e Profissional terão dois perfis de professores bem distintos. Os professores da BNCC terão a função de “formação geral do estudante”, enquanto os profissionais que atuarão no itinerário devem prepará-los para saber trabalhar em um contexto profissional cada vez mais complexo e exigente de qualificação profissional demandada pelo mercado de trabalho.</w:t>
      </w:r>
    </w:p>
    <w:p w14:paraId="019F30BC" w14:textId="77777777" w:rsidR="003E6792" w:rsidRPr="00CA7147" w:rsidRDefault="0038108D">
      <w:pPr>
        <w:ind w:firstLineChars="250" w:firstLine="600"/>
        <w:jc w:val="both"/>
        <w:rPr>
          <w:rFonts w:ascii="Arial" w:hAnsi="Arial"/>
          <w:sz w:val="24"/>
          <w:szCs w:val="24"/>
          <w:lang w:val="pt-BR"/>
        </w:rPr>
      </w:pPr>
      <w:r w:rsidRPr="00CA7147">
        <w:rPr>
          <w:rFonts w:ascii="Arial" w:hAnsi="Arial"/>
          <w:sz w:val="24"/>
          <w:szCs w:val="24"/>
          <w:lang w:val="pt-BR"/>
        </w:rPr>
        <w:t xml:space="preserve">Acrescenta ainda que  </w:t>
      </w:r>
    </w:p>
    <w:p w14:paraId="62B0A3EB" w14:textId="77777777" w:rsidR="00CA7147" w:rsidRDefault="00CA7147">
      <w:pPr>
        <w:ind w:leftChars="1000" w:left="2000"/>
        <w:jc w:val="both"/>
        <w:rPr>
          <w:rFonts w:ascii="Arial" w:hAnsi="Arial"/>
          <w:color w:val="000000"/>
          <w:lang w:val="pt-BR"/>
        </w:rPr>
      </w:pPr>
    </w:p>
    <w:p w14:paraId="28927932" w14:textId="17CE5C1E" w:rsidR="003E6792" w:rsidRPr="00CA7147" w:rsidRDefault="0038108D">
      <w:pPr>
        <w:ind w:leftChars="1000" w:left="2000"/>
        <w:jc w:val="both"/>
        <w:rPr>
          <w:rFonts w:ascii="Arial" w:hAnsi="Arial"/>
          <w:color w:val="000000"/>
          <w:lang w:val="pt-BR"/>
        </w:rPr>
      </w:pPr>
      <w:r w:rsidRPr="00CA7147">
        <w:rPr>
          <w:rFonts w:ascii="Arial" w:hAnsi="Arial"/>
          <w:color w:val="000000"/>
          <w:lang w:val="pt-BR"/>
        </w:rPr>
        <w:t xml:space="preserve">Ao admitir a possibilidade de reconhecimento do notório saber aos docentes que atuam na formação técnica e profissional, sana uma dívida histórica em relação à EPT, ao reconhecer que a formação profissional se baseia em saberes que não estão necessariamente vinculados aos respectivos níveis de ensino. </w:t>
      </w:r>
    </w:p>
    <w:p w14:paraId="16404703" w14:textId="3C8A827B" w:rsidR="003E6792" w:rsidRDefault="0038108D">
      <w:pPr>
        <w:ind w:leftChars="1000" w:left="2000"/>
        <w:jc w:val="both"/>
        <w:rPr>
          <w:rFonts w:ascii="Arial" w:hAnsi="Arial"/>
          <w:color w:val="000000"/>
          <w:lang w:val="pt-BR"/>
        </w:rPr>
      </w:pPr>
      <w:r w:rsidRPr="00CA7147">
        <w:rPr>
          <w:rFonts w:ascii="Arial" w:hAnsi="Arial"/>
          <w:color w:val="000000"/>
          <w:lang w:val="pt-BR"/>
        </w:rPr>
        <w:t>Não se trata de uma relação necessária com nível de escolaridade; mas sim de dispor das competências necessárias para desenvolver nos estudantes as capacidades técnicas atinentes a um determinado perfil profissional (p.16)</w:t>
      </w:r>
      <w:r w:rsidR="00CA7147">
        <w:rPr>
          <w:rFonts w:ascii="Arial" w:hAnsi="Arial"/>
          <w:color w:val="000000"/>
          <w:lang w:val="pt-BR"/>
        </w:rPr>
        <w:t>.</w:t>
      </w:r>
    </w:p>
    <w:p w14:paraId="28BC7C61" w14:textId="77777777" w:rsidR="00CA7147" w:rsidRPr="00CA7147" w:rsidRDefault="00CA7147">
      <w:pPr>
        <w:ind w:leftChars="1000" w:left="2000"/>
        <w:jc w:val="both"/>
        <w:rPr>
          <w:rFonts w:ascii="Arial" w:hAnsi="Arial"/>
          <w:color w:val="000000"/>
          <w:lang w:val="pt-BR"/>
        </w:rPr>
      </w:pPr>
    </w:p>
    <w:p w14:paraId="49E8A868" w14:textId="4EDC3024" w:rsidR="003E6792" w:rsidRPr="00CA7147" w:rsidRDefault="0038108D">
      <w:pPr>
        <w:jc w:val="both"/>
        <w:rPr>
          <w:rFonts w:ascii="Arial" w:hAnsi="Arial"/>
          <w:color w:val="000000"/>
          <w:sz w:val="24"/>
          <w:szCs w:val="24"/>
          <w:lang w:val="pt-BR"/>
        </w:rPr>
      </w:pPr>
      <w:r w:rsidRPr="00CA7147">
        <w:rPr>
          <w:rFonts w:ascii="Arial" w:hAnsi="Arial"/>
          <w:color w:val="000000"/>
          <w:sz w:val="24"/>
          <w:szCs w:val="24"/>
          <w:lang w:val="pt-BR"/>
        </w:rPr>
        <w:lastRenderedPageBreak/>
        <w:t xml:space="preserve">A racionalidade assumida é de que não existe integração entre ensino médio e EPTNM, ratificando o que já foi afirmado anteriormente: a prioridade é pela concomitância em detrimento do EMI. Além disso, defende que o professor do itinerário </w:t>
      </w:r>
      <w:r w:rsidRPr="00CA7147">
        <w:rPr>
          <w:rFonts w:ascii="Arial" w:hAnsi="Arial"/>
          <w:sz w:val="24"/>
          <w:szCs w:val="24"/>
          <w:lang w:val="pt-BR"/>
        </w:rPr>
        <w:t xml:space="preserve">“formação técnica e profissional” não tem responsabilidade no que concerne à formação integral dos estudantes, mas, apenas, com a preparação instrumental para um determinado posto de trabalho demandado pelo mercado. Como se não bastasse, induz o leitor à </w:t>
      </w:r>
      <w:r w:rsidRPr="00CA7147">
        <w:rPr>
          <w:rFonts w:ascii="Arial" w:hAnsi="Arial"/>
          <w:b/>
          <w:bCs/>
          <w:sz w:val="24"/>
          <w:szCs w:val="24"/>
          <w:lang w:val="pt-BR"/>
        </w:rPr>
        <w:t>ideia de que o docente</w:t>
      </w:r>
      <w:r w:rsidRPr="00CA7147">
        <w:rPr>
          <w:rFonts w:ascii="Arial" w:hAnsi="Arial"/>
          <w:sz w:val="24"/>
          <w:szCs w:val="24"/>
          <w:lang w:val="pt-BR"/>
        </w:rPr>
        <w:t xml:space="preserve"> desse itinerário, além de </w:t>
      </w:r>
      <w:r w:rsidRPr="00CA7147">
        <w:rPr>
          <w:rFonts w:ascii="Arial" w:hAnsi="Arial"/>
          <w:b/>
          <w:bCs/>
          <w:sz w:val="24"/>
          <w:szCs w:val="24"/>
          <w:lang w:val="pt-BR"/>
        </w:rPr>
        <w:t>não precisar ser formado</w:t>
      </w:r>
      <w:r w:rsidRPr="00CA7147">
        <w:rPr>
          <w:rFonts w:ascii="Arial" w:hAnsi="Arial"/>
          <w:sz w:val="24"/>
          <w:szCs w:val="24"/>
          <w:lang w:val="pt-BR"/>
        </w:rPr>
        <w:t xml:space="preserve"> como tal, </w:t>
      </w:r>
      <w:r w:rsidRPr="00CA7147">
        <w:rPr>
          <w:rFonts w:ascii="Arial" w:hAnsi="Arial"/>
          <w:b/>
          <w:bCs/>
          <w:sz w:val="24"/>
          <w:szCs w:val="24"/>
          <w:lang w:val="pt-BR"/>
        </w:rPr>
        <w:t>sequer precisa ter nível superior</w:t>
      </w:r>
      <w:r w:rsidRPr="00CA7147">
        <w:rPr>
          <w:rFonts w:ascii="Arial" w:hAnsi="Arial"/>
          <w:sz w:val="24"/>
          <w:szCs w:val="24"/>
          <w:lang w:val="pt-BR"/>
        </w:rPr>
        <w:t>, mas, apenas, “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dispor das competências necessárias para desenvolver nos estudantes as capacidades técnicas atinentes a um determinado perfil profissional”. O que nega, radicalmente, a profissão docente e </w:t>
      </w:r>
      <w:r w:rsidRPr="00CA7147">
        <w:rPr>
          <w:rFonts w:ascii="Arial" w:hAnsi="Arial"/>
          <w:b/>
          <w:bCs/>
          <w:color w:val="000000"/>
          <w:sz w:val="24"/>
          <w:szCs w:val="24"/>
          <w:lang w:val="pt-BR"/>
        </w:rPr>
        <w:t>ratifica a precarização</w:t>
      </w:r>
      <w:r w:rsidRPr="00CA7147">
        <w:rPr>
          <w:rFonts w:ascii="Arial" w:hAnsi="Arial"/>
          <w:color w:val="000000"/>
          <w:sz w:val="24"/>
          <w:szCs w:val="24"/>
          <w:lang w:val="pt-BR"/>
        </w:rPr>
        <w:t xml:space="preserve"> da formação dos estudantes já discutida anteriormente</w:t>
      </w:r>
      <w:r w:rsidR="00877825" w:rsidRPr="00CA7147">
        <w:rPr>
          <w:rFonts w:ascii="Arial" w:hAnsi="Arial"/>
          <w:color w:val="000000"/>
          <w:sz w:val="24"/>
          <w:szCs w:val="24"/>
          <w:lang w:val="pt-BR"/>
        </w:rPr>
        <w:t>, em coerência com o modelo da competência.</w:t>
      </w:r>
    </w:p>
    <w:p w14:paraId="27DA2D88" w14:textId="68E33642" w:rsidR="003E6792" w:rsidRPr="00CA7147" w:rsidRDefault="0038108D">
      <w:pPr>
        <w:spacing w:line="288" w:lineRule="auto"/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Na verdade, no atual contexto nacional já caracterizado, ainda que de forma breve, na parte introdutória deste documento, a proposta </w:t>
      </w:r>
      <w:r w:rsidR="00877825"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é a de 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privatiza</w:t>
      </w:r>
      <w:r w:rsidR="00877825" w:rsidRPr="00CA7147">
        <w:rPr>
          <w:rFonts w:ascii="Arial" w:hAnsi="Arial"/>
          <w:color w:val="000000" w:themeColor="text1"/>
          <w:sz w:val="24"/>
          <w:szCs w:val="24"/>
          <w:lang w:val="pt-BR"/>
        </w:rPr>
        <w:t>r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</w:t>
      </w:r>
      <w:r w:rsidR="00877825" w:rsidRPr="00CA7147">
        <w:rPr>
          <w:rFonts w:ascii="Arial" w:hAnsi="Arial"/>
          <w:color w:val="000000" w:themeColor="text1"/>
          <w:sz w:val="24"/>
          <w:szCs w:val="24"/>
          <w:lang w:val="pt-BR"/>
        </w:rPr>
        <w:t>todo o setor público.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Portanto, vai muito além da esfera educacional. Ao país está sen</w:t>
      </w:r>
      <w:r w:rsidR="007D05AD" w:rsidRPr="00CA7147">
        <w:rPr>
          <w:rFonts w:ascii="Arial" w:hAnsi="Arial"/>
          <w:color w:val="000000" w:themeColor="text1"/>
          <w:sz w:val="24"/>
          <w:szCs w:val="24"/>
          <w:lang w:val="pt-BR"/>
        </w:rPr>
        <w:t>d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o imposta uma nova onda de privatização em todos os espaços da ação do estado. Por isso, abrange, inclusive, todos os níveis, etapas e modalidades educacionais. Ou seja, da educação infantil à pós-graduação </w:t>
      </w:r>
      <w:r w:rsidRPr="00CA7147">
        <w:rPr>
          <w:rFonts w:ascii="Arial" w:hAnsi="Arial"/>
          <w:i/>
          <w:iCs/>
          <w:color w:val="000000" w:themeColor="text1"/>
          <w:sz w:val="24"/>
          <w:szCs w:val="24"/>
          <w:lang w:val="pt-BR"/>
        </w:rPr>
        <w:t xml:space="preserve">stricto sensu, 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o que, evidentemente, inclui a EPT. </w:t>
      </w:r>
    </w:p>
    <w:p w14:paraId="78118A80" w14:textId="77777777" w:rsidR="003E6792" w:rsidRPr="00CA7147" w:rsidRDefault="0038108D">
      <w:pPr>
        <w:spacing w:line="288" w:lineRule="auto"/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Entretanto, na educação, em geral, e na EPTNM, em particular, a estratégia privatizante preferencial não está sendo a forma direta: criação de novas empresas privadas para competir no mercado pela captação de alunos-clientes. Ao invés disso,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>a opção preferencial do mercado educacional está sendo a captação do fundo público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, onde quer que se encontre, por meio de parceria público-privada para proporcionar, inclusive, a própria oferta educacional pública. Dessa forma, avança uma espécie de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>privatização endógena, onde a própria oferta pública é fortemente influenciada pelos interesses da iniciativa privada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. </w:t>
      </w:r>
    </w:p>
    <w:p w14:paraId="05315124" w14:textId="23375820" w:rsidR="007D05AD" w:rsidRPr="00CA7147" w:rsidRDefault="0038108D">
      <w:pPr>
        <w:spacing w:line="288" w:lineRule="auto"/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Nesse sentido, as DCNEPT se inserem integralmente nessa racionalidade. Ao longo do texto são recorrentes expressões que se referem às parcerias público-privadas, sob o argumento d</w:t>
      </w:r>
      <w:r w:rsidR="00AC087F" w:rsidRPr="00CA7147">
        <w:rPr>
          <w:rFonts w:ascii="Arial" w:hAnsi="Arial"/>
          <w:color w:val="000000" w:themeColor="text1"/>
          <w:sz w:val="24"/>
          <w:szCs w:val="24"/>
          <w:lang w:val="pt-BR"/>
        </w:rPr>
        <w:t>e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otimizar a utilização da capacidade instalada existente na esfera privada, a qual pode ser disponibilizada ao setor público, quando, na verdade, o objetivo privatista é, ao mesmo tempo, acessar, o máximo possível</w:t>
      </w:r>
      <w:r w:rsidR="009E2E8A">
        <w:rPr>
          <w:rFonts w:ascii="Arial" w:hAnsi="Arial"/>
          <w:color w:val="000000" w:themeColor="text1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</w:t>
      </w:r>
      <w:r w:rsidR="00120F0C" w:rsidRPr="00CA7147">
        <w:rPr>
          <w:rFonts w:ascii="Arial" w:hAnsi="Arial"/>
          <w:color w:val="000000" w:themeColor="text1"/>
          <w:sz w:val="24"/>
          <w:szCs w:val="24"/>
          <w:lang w:val="pt-BR"/>
        </w:rPr>
        <w:t>os recursos advindos dos impostos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e, cada vez mais, garantir que a concepção de formação humana que alcançará a população seja aquela que lhes interessa: educação subordinada aos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>interesses do mercado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. Fortalecendo, portanto, a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 xml:space="preserve">educação para o mercado 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e o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 xml:space="preserve"> mercado da educação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.</w:t>
      </w:r>
    </w:p>
    <w:p w14:paraId="71A6956B" w14:textId="04825F8E" w:rsidR="00C50E48" w:rsidRPr="00CA7147" w:rsidRDefault="003667A0">
      <w:pPr>
        <w:spacing w:line="288" w:lineRule="auto"/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No Brasil, ao contrário do que os representantes governamentais e empresariais têm declarado à imprensa, as mudanças educacionais impostas 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lastRenderedPageBreak/>
        <w:t>não contemplam nem mesmo a formação de mão-de-obra qualificada para o mercado. O descaso com a educação pública parece expressar a ausência de demandas socioeconômicas por produção de ciência e tecnologia em pa</w:t>
      </w:r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>ís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cuja economia se especializa em criar empregos e/ou ocupações de baixa qualificação (com a destruição permanente de cadeias produtivas, o declínio da participação da indústria de transformação, em especial a metal – mecânica no PIB). </w:t>
      </w:r>
    </w:p>
    <w:p w14:paraId="2B70A1A6" w14:textId="38A3D448" w:rsidR="00B307D7" w:rsidRPr="00CA7147" w:rsidRDefault="003667A0">
      <w:pPr>
        <w:spacing w:line="288" w:lineRule="auto"/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A nova inserção do Brasil na divisão internacional do trabalho privilegia setores primários exportadores, em particular a mineração, agroindústria, construção civil e pesada, e não privilegia o emprego qualificado. Os motores da acumulação concentram-se, ainda, em outros setores que não empregam trabalho especialmente qualificado, tais como o setor de serviços, a indústria financeira, os </w:t>
      </w:r>
      <w:proofErr w:type="spellStart"/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call</w:t>
      </w:r>
      <w:proofErr w:type="spellEnd"/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centers, isto é, o telemarketin</w:t>
      </w:r>
      <w:r w:rsidR="00C50E48" w:rsidRPr="00CA7147">
        <w:rPr>
          <w:rFonts w:ascii="Arial" w:hAnsi="Arial"/>
          <w:color w:val="000000" w:themeColor="text1"/>
          <w:sz w:val="24"/>
          <w:szCs w:val="24"/>
          <w:lang w:val="pt-BR"/>
        </w:rPr>
        <w:t>g. O enorme desemprego, a flexibilização, informalização e precarização do trabalho têm redefinido as bases sociais da classe trabalhadora, afetando de forma singular o futuro de amplos setores da juventude trabalhadora</w:t>
      </w:r>
      <w:r w:rsidR="00B307D7"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. </w:t>
      </w:r>
    </w:p>
    <w:p w14:paraId="3564621F" w14:textId="73D68BA7" w:rsidR="00C50E48" w:rsidRDefault="00B307D7">
      <w:pPr>
        <w:spacing w:line="288" w:lineRule="auto"/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A educação neoliberal dirigida</w:t>
      </w:r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à juventude trabalhadora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parece se reduzir à </w:t>
      </w:r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transmissão de 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conhecimentos operacionais ao exercício de uma ocupação ou atividade considerada socialmente útil, a um presente ao qual custe o que custar o jovem trabalhador deve se adaptar. A conformação de uma nova subjetividade </w:t>
      </w:r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à classe trabalhadora 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deve suprimir a utopia de</w:t>
      </w:r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su</w:t>
      </w:r>
      <w:r w:rsidR="00877825" w:rsidRPr="00CA7147">
        <w:rPr>
          <w:rFonts w:ascii="Arial" w:hAnsi="Arial"/>
          <w:color w:val="000000" w:themeColor="text1"/>
          <w:sz w:val="24"/>
          <w:szCs w:val="24"/>
          <w:lang w:val="pt-BR"/>
        </w:rPr>
        <w:t>a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liberação</w:t>
      </w:r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. Na justa expressão de André </w:t>
      </w:r>
      <w:proofErr w:type="spellStart"/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>Tosel</w:t>
      </w:r>
      <w:proofErr w:type="spellEnd"/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, a época da escola neoliberal é “a da escola </w:t>
      </w:r>
      <w:proofErr w:type="spellStart"/>
      <w:r w:rsidR="003E568F" w:rsidRPr="00CA7147">
        <w:rPr>
          <w:rFonts w:ascii="Arial" w:hAnsi="Arial"/>
          <w:i/>
          <w:iCs/>
          <w:color w:val="000000" w:themeColor="text1"/>
          <w:sz w:val="24"/>
          <w:szCs w:val="24"/>
          <w:lang w:val="pt-BR"/>
        </w:rPr>
        <w:t>desemancipadora</w:t>
      </w:r>
      <w:proofErr w:type="spellEnd"/>
      <w:r w:rsidR="003E568F" w:rsidRPr="00CA7147">
        <w:rPr>
          <w:rFonts w:ascii="Arial" w:hAnsi="Arial"/>
          <w:i/>
          <w:iCs/>
          <w:color w:val="000000" w:themeColor="text1"/>
          <w:sz w:val="24"/>
          <w:szCs w:val="24"/>
          <w:lang w:val="pt-BR"/>
        </w:rPr>
        <w:t>”</w:t>
      </w:r>
      <w:r w:rsidR="00CA7147" w:rsidRPr="00CA7147">
        <w:rPr>
          <w:rStyle w:val="Refdenotaderodap"/>
          <w:rFonts w:ascii="Arial" w:hAnsi="Arial"/>
          <w:i/>
          <w:iCs/>
          <w:color w:val="000000" w:themeColor="text1"/>
          <w:sz w:val="24"/>
          <w:szCs w:val="24"/>
          <w:lang w:val="pt-BR"/>
        </w:rPr>
        <w:footnoteReference w:id="2"/>
      </w:r>
      <w:r w:rsidR="003E568F" w:rsidRPr="00CA7147">
        <w:rPr>
          <w:rFonts w:ascii="Arial" w:hAnsi="Arial"/>
          <w:color w:val="000000" w:themeColor="text1"/>
          <w:sz w:val="24"/>
          <w:szCs w:val="24"/>
          <w:lang w:val="pt-BR"/>
        </w:rPr>
        <w:t>.</w:t>
      </w:r>
    </w:p>
    <w:p w14:paraId="2BA00B0D" w14:textId="77777777" w:rsidR="00CA7147" w:rsidRPr="00CA7147" w:rsidRDefault="00CA7147">
      <w:pPr>
        <w:spacing w:line="288" w:lineRule="auto"/>
        <w:jc w:val="both"/>
        <w:rPr>
          <w:rFonts w:ascii="Arial" w:hAnsi="Arial"/>
          <w:color w:val="000000" w:themeColor="text1"/>
          <w:sz w:val="24"/>
          <w:szCs w:val="24"/>
          <w:lang w:val="pt-BR"/>
        </w:rPr>
      </w:pPr>
    </w:p>
    <w:p w14:paraId="61829E78" w14:textId="08B88BDE" w:rsidR="003E6792" w:rsidRPr="00CA7147" w:rsidRDefault="0038108D">
      <w:pPr>
        <w:spacing w:line="288" w:lineRule="auto"/>
        <w:jc w:val="both"/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</w:pP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Diante dessa breve e preliminar análise das novas DCNEPT no que se refere à EPTNM, conclui-se que é urgente o envolvimento de todas e todos, profissionais da educação, estudantes, familiares, órgãos, instituições, escolas, coletivos, entidades, redes estaduais e municipais, rede federal, etc.</w:t>
      </w:r>
      <w:r w:rsidR="00596D19">
        <w:rPr>
          <w:rFonts w:ascii="Arial" w:hAnsi="Arial"/>
          <w:color w:val="000000" w:themeColor="text1"/>
          <w:sz w:val="24"/>
          <w:szCs w:val="24"/>
          <w:lang w:val="pt-BR"/>
        </w:rPr>
        <w:t>,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que defendam a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>educação como direito social público, igualitário e universal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para, de forma articulada, organizar a resistência à implementação do Parecer CNE/CP n</w:t>
      </w:r>
      <w:r w:rsidRPr="00CA7147">
        <w:rPr>
          <w:rFonts w:ascii="Arial" w:hAnsi="Arial"/>
          <w:color w:val="000000" w:themeColor="text1"/>
          <w:sz w:val="24"/>
          <w:szCs w:val="24"/>
          <w:vertAlign w:val="superscript"/>
          <w:lang w:val="pt-BR"/>
        </w:rPr>
        <w:t>0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 17/2020 e da Resolução CNE/CP n</w:t>
      </w:r>
      <w:r w:rsidRPr="00CA7147">
        <w:rPr>
          <w:rFonts w:ascii="Arial" w:hAnsi="Arial"/>
          <w:color w:val="000000" w:themeColor="text1"/>
          <w:sz w:val="24"/>
          <w:szCs w:val="24"/>
          <w:vertAlign w:val="superscript"/>
          <w:lang w:val="pt-BR"/>
        </w:rPr>
        <w:t xml:space="preserve">0 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 xml:space="preserve">01/2021, em sua totalidade, pois a racionalidade que os sustenta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>não permite aceitação ou negação parcial. É essencial refutar</w:t>
      </w:r>
      <w:r w:rsidRPr="00BF3C7A">
        <w:rPr>
          <w:rFonts w:ascii="Arial" w:hAnsi="Arial"/>
          <w:color w:val="000000" w:themeColor="text1"/>
          <w:sz w:val="24"/>
          <w:szCs w:val="24"/>
          <w:lang w:val="pt-BR"/>
        </w:rPr>
        <w:t xml:space="preserve">, veementemente, </w:t>
      </w:r>
      <w:r w:rsidRPr="00CA7147">
        <w:rPr>
          <w:rFonts w:ascii="Arial" w:hAnsi="Arial"/>
          <w:b/>
          <w:bCs/>
          <w:color w:val="000000" w:themeColor="text1"/>
          <w:sz w:val="24"/>
          <w:szCs w:val="24"/>
          <w:lang w:val="pt-BR"/>
        </w:rPr>
        <w:t>o seu todo</w:t>
      </w:r>
      <w:r w:rsidRPr="00CA7147">
        <w:rPr>
          <w:rFonts w:ascii="Arial" w:hAnsi="Arial"/>
          <w:color w:val="000000" w:themeColor="text1"/>
          <w:sz w:val="24"/>
          <w:szCs w:val="24"/>
          <w:lang w:val="pt-BR"/>
        </w:rPr>
        <w:t>.</w:t>
      </w:r>
    </w:p>
    <w:p w14:paraId="57BD1F21" w14:textId="77777777" w:rsidR="002C5B21" w:rsidRDefault="002C5B21" w:rsidP="002C5B21">
      <w:pPr>
        <w:spacing w:line="288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14:paraId="392C7EA7" w14:textId="7A277B96" w:rsidR="002C5B21" w:rsidRPr="00B61653" w:rsidRDefault="002C5B21" w:rsidP="002C5B21">
      <w:pPr>
        <w:spacing w:line="288" w:lineRule="auto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B61653">
        <w:rPr>
          <w:rFonts w:ascii="Arial" w:hAnsi="Arial" w:cs="Arial"/>
          <w:b/>
          <w:bCs/>
          <w:sz w:val="24"/>
          <w:szCs w:val="24"/>
          <w:lang w:val="pt-BR"/>
        </w:rPr>
        <w:t xml:space="preserve">20 de </w:t>
      </w:r>
      <w:proofErr w:type="gramStart"/>
      <w:r w:rsidRPr="00B61653">
        <w:rPr>
          <w:rFonts w:ascii="Arial" w:hAnsi="Arial" w:cs="Arial"/>
          <w:b/>
          <w:bCs/>
          <w:sz w:val="24"/>
          <w:szCs w:val="24"/>
          <w:lang w:val="pt-BR"/>
        </w:rPr>
        <w:t>Janeiro</w:t>
      </w:r>
      <w:proofErr w:type="gramEnd"/>
      <w:r w:rsidRPr="00B61653">
        <w:rPr>
          <w:rFonts w:ascii="Arial" w:hAnsi="Arial" w:cs="Arial"/>
          <w:b/>
          <w:bCs/>
          <w:sz w:val="24"/>
          <w:szCs w:val="24"/>
          <w:lang w:val="pt-BR"/>
        </w:rPr>
        <w:t xml:space="preserve"> de 2021</w:t>
      </w:r>
    </w:p>
    <w:p w14:paraId="69EBB34A" w14:textId="77777777" w:rsidR="008C2EDB" w:rsidRPr="00F4338D" w:rsidDel="0054423A" w:rsidRDefault="008C2EDB" w:rsidP="00F4338D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p w14:paraId="124A0703" w14:textId="77777777" w:rsidR="008C2EDB" w:rsidRPr="00F4338D" w:rsidRDefault="008C2EDB" w:rsidP="005943C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ABECS - ASSOCIAÇÃO BRASILEIRA DE ENSINO DE CIÊNCIAS SOCIAIS</w:t>
      </w:r>
    </w:p>
    <w:p w14:paraId="3CFBAB7F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ABRAPEC – ASSOCIAÇÃO BRASILEIRA DE PESQUISA EM EDUCAÇÃO EM CIÊNCIAS</w:t>
      </w:r>
    </w:p>
    <w:p w14:paraId="1DEF03D3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ADUFES - ASSOCIAÇÃO DOS DOCENTES DA UFES</w:t>
      </w:r>
    </w:p>
    <w:p w14:paraId="75728393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ANFOPE - ASSOCIAÇÃO NACIONAL PELA FORMAÇÃO DOS PROFISSIONAIS DA EDUCAÇÃO</w:t>
      </w:r>
    </w:p>
    <w:p w14:paraId="452E9B02" w14:textId="77777777" w:rsidR="008C2EDB" w:rsidRPr="00F4338D" w:rsidRDefault="008C2EDB" w:rsidP="005943C3">
      <w:pPr>
        <w:shd w:val="clear" w:color="auto" w:fill="FFFFFF"/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F4338D">
        <w:rPr>
          <w:rFonts w:ascii="Arial" w:hAnsi="Arial" w:cs="Arial"/>
          <w:b/>
          <w:bCs/>
          <w:sz w:val="24"/>
          <w:szCs w:val="24"/>
        </w:rPr>
        <w:t>ANPAE - ASSOCIAÇÃO NACIONAL DE POLÍTICA E ADMINISTRAÇÃO DA EDUCAÇÃO - SP</w:t>
      </w:r>
    </w:p>
    <w:p w14:paraId="27FD7844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hAnsi="Arial" w:cs="Arial"/>
          <w:b/>
          <w:bCs/>
          <w:sz w:val="24"/>
          <w:szCs w:val="24"/>
        </w:rPr>
        <w:t xml:space="preserve">ANPED - PROFESSORES E PESQUISADORES DA EDUCAÇÃO INTEGRANTES DO GRUPO “TRABALHO E EDUCAÇÃO” - GT09 </w:t>
      </w:r>
    </w:p>
    <w:p w14:paraId="41FB88B1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hyperlink r:id="rId9" w:history="1">
        <w:r w:rsidRPr="00F4338D">
          <w:rPr>
            <w:rFonts w:ascii="Arial" w:eastAsia="Times New Roman" w:hAnsi="Arial" w:cs="Arial"/>
            <w:b/>
            <w:bCs/>
            <w:sz w:val="24"/>
            <w:szCs w:val="24"/>
            <w:lang w:val="pt-BR" w:eastAsia="pt-BR"/>
          </w:rPr>
          <w:t>CAMPANHA NACIONAL PELO DIREITO À EDUCAÇÃO</w:t>
        </w:r>
      </w:hyperlink>
    </w:p>
    <w:p w14:paraId="69B7CCC8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CEDES - CENTRO DE ESTUDOS EDUCAÇÃO E SOCIEDADE</w:t>
      </w:r>
    </w:p>
    <w:p w14:paraId="4B3816BB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CNTE – CONFEDERAÇÃO NACIONAL DOS TRABALHADORES DA EDUCAÇÃO</w:t>
      </w:r>
    </w:p>
    <w:p w14:paraId="41CCEA5C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338D">
        <w:rPr>
          <w:rFonts w:ascii="Arial" w:hAnsi="Arial" w:cs="Arial"/>
          <w:b/>
          <w:bCs/>
          <w:sz w:val="24"/>
          <w:szCs w:val="24"/>
        </w:rPr>
        <w:t>FEPE/SC: FÓRUM ESTADUAL POPULAR DE EDUCAÇÃO DE SANTA CATARINA</w:t>
      </w:r>
    </w:p>
    <w:p w14:paraId="6D47B0DF" w14:textId="23E83778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FEUSP - CONGREGAÇÃO DA FACULDADE DE </w:t>
      </w:r>
      <w:r w:rsidR="005B06E6">
        <w:rPr>
          <w:rFonts w:ascii="Arial" w:hAnsi="Arial" w:cs="Arial"/>
          <w:b/>
          <w:bCs/>
          <w:sz w:val="24"/>
          <w:szCs w:val="24"/>
          <w:shd w:val="clear" w:color="auto" w:fill="FFFFFF"/>
        </w:rPr>
        <w:t>EDUCAÇÃO</w:t>
      </w:r>
    </w:p>
    <w:p w14:paraId="725958F7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FINEDUCA</w:t>
      </w:r>
      <w:r w:rsidRPr="00F4338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- ASSOCIAÇÃO NACIONAL DE PESQUISA EM FINANCIAMENTO DA EDUCAÇÃO</w:t>
      </w:r>
    </w:p>
    <w:p w14:paraId="68B6E29B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FORPIBID RP - FÓRUM NACIONAL DE COORDENADORES INSTITUCIONAIS DO PIBID E RESIDÊNCIA PEDAGÓGICA</w:t>
      </w:r>
    </w:p>
    <w:p w14:paraId="4B203D48" w14:textId="77777777" w:rsidR="008C2EDB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FORUM ESTADUAL DE EDUCAÇÃO DO PARÁ</w:t>
      </w:r>
    </w:p>
    <w:p w14:paraId="2EDBDF5B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338D">
        <w:rPr>
          <w:rFonts w:ascii="Arial" w:hAnsi="Arial" w:cs="Arial"/>
          <w:b/>
          <w:bCs/>
          <w:sz w:val="24"/>
          <w:szCs w:val="24"/>
        </w:rPr>
        <w:t>FÓRUM ESTADUAL POPULAR DE EDUCAÇÃO DO PARANÁ</w:t>
      </w:r>
    </w:p>
    <w:p w14:paraId="441464A0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hAnsi="Arial" w:cs="Arial"/>
          <w:b/>
          <w:bCs/>
          <w:sz w:val="24"/>
          <w:szCs w:val="24"/>
        </w:rPr>
        <w:t>FÓRUNS DE EJA DO BRASIL</w:t>
      </w:r>
    </w:p>
    <w:p w14:paraId="5D651B4D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338D">
        <w:rPr>
          <w:rFonts w:ascii="Arial" w:hAnsi="Arial" w:cs="Arial"/>
          <w:b/>
          <w:bCs/>
          <w:sz w:val="24"/>
          <w:szCs w:val="24"/>
        </w:rPr>
        <w:t xml:space="preserve">GEPEFOPPE - </w:t>
      </w:r>
      <w:r w:rsidRPr="00F4338D">
        <w:rPr>
          <w:rFonts w:ascii="Arial" w:hAnsi="Arial" w:cs="Arial"/>
          <w:b/>
          <w:bCs/>
          <w:sz w:val="24"/>
          <w:szCs w:val="24"/>
          <w:lang w:val="pt-PT"/>
        </w:rPr>
        <w:t>GRUPO DE ESTUDO E PESQUISA EM EDUCAÇÃO, FORMAÇÃO DE PROFESSORES E PROCESSOS EDUCATIVOS</w:t>
      </w:r>
    </w:p>
    <w:p w14:paraId="0AD53643" w14:textId="77777777" w:rsidR="008C2EDB" w:rsidRPr="00F4338D" w:rsidRDefault="008C2EDB" w:rsidP="005943C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GEPPEF – GRUPO DE ESTUDOS E PESQUISAS POLÍCAS EDUCACIONAIS E FORMAÇÃO DE PROFESSORES - UFGD</w:t>
      </w:r>
    </w:p>
    <w:p w14:paraId="308F6149" w14:textId="77777777" w:rsidR="008C2EDB" w:rsidRPr="00F4338D" w:rsidRDefault="008C2EDB" w:rsidP="005943C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GEPTE - GRUPO DE ESTUDOS E PESQUISAS TRABALHO E EDUCAÇÃO – UFPA</w:t>
      </w:r>
    </w:p>
    <w:p w14:paraId="07940929" w14:textId="77777777" w:rsidR="008C2EDB" w:rsidRPr="00F4338D" w:rsidRDefault="008C2EDB" w:rsidP="005943C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pt-BR"/>
        </w:rPr>
        <w:t>GETAE - GRUPO DE ESTUDOS E PESQUISAS SOBRE GESTÃO, TRABALHO E AVALIAÇÃO EDUCACIONAL – CE-UFES</w:t>
      </w:r>
    </w:p>
    <w:p w14:paraId="553022FD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GETET - GRUPO DE ESTUDOS E PESQUISAS TRABALHO, EDUCAÇÃO E TECNOLOGIA – UTFPR</w:t>
      </w:r>
    </w:p>
    <w:p w14:paraId="32BB2D7C" w14:textId="77777777" w:rsidR="008C2EDB" w:rsidRPr="00F4338D" w:rsidRDefault="008C2EDB" w:rsidP="005943C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GPTEEA - GRUPO DE PESQUISA TRABALHO-EDUCACÃO E EDUCAÇÃO AMBIENTAL - IFRJ</w:t>
      </w:r>
    </w:p>
    <w:p w14:paraId="51CCC543" w14:textId="77777777" w:rsidR="008C2EDB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GRUPEES - GRUPO DE PESQUISA, EXTENSÃO EENSINO DE SOCIOLOGIA – UFJF</w:t>
      </w:r>
    </w:p>
    <w:p w14:paraId="37B885AA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lastRenderedPageBreak/>
        <w:t xml:space="preserve">GRUPO DE PESQUISA </w:t>
      </w:r>
      <w:r w:rsidRPr="00F4338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EM </w:t>
      </w:r>
      <w:r w:rsidRPr="00F4338D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TRABALHO E EDUCAÇÃO</w:t>
      </w:r>
      <w:r w:rsidRPr="00F4338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DA FE/</w:t>
      </w:r>
      <w:r w:rsidRPr="00F4338D">
        <w:rPr>
          <w:rStyle w:val="nfase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USP</w:t>
      </w:r>
    </w:p>
    <w:p w14:paraId="3CEC9AEE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GRUPO DE PESQUISA ESTADO, POLÍTICAS PÚBLICAS E EDUCAÇÃO PROFISSIONAL - IFPR</w:t>
      </w:r>
    </w:p>
    <w:p w14:paraId="5C0083EF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GRUPO DE PESQUISA FEDERALISMO E POLÍTICAS EDUCACIONAIS – UFES</w:t>
      </w:r>
    </w:p>
    <w:p w14:paraId="1AD2621C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GRUPO THESE - PROJETOS INTEGRADOS DE PESQUISAS TRABALHO, HISTÓRIA, EDUCAÇÃO E SAÚDE – UFF/UERJ/EPSJV-FIOCRUZ</w:t>
      </w:r>
    </w:p>
    <w:p w14:paraId="140A906F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GTPS - GRUPO DE PESQUISAS SOBRE TRABALHO, POLÍTICA E SOCIEDADE - UFRRJ</w:t>
      </w:r>
    </w:p>
    <w:p w14:paraId="7453B801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IIEP – INTERCÂMBIO, INFORMAÇÕES, ESTUDOS E PESQUISAS</w:t>
      </w:r>
    </w:p>
    <w:p w14:paraId="4AC6FBB8" w14:textId="77777777" w:rsidR="008C2EDB" w:rsidRPr="00F4338D" w:rsidRDefault="008C2EDB" w:rsidP="005943C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pt-BR" w:eastAsia="pt-BR"/>
        </w:rPr>
        <w:t>LAGEBES - LABORATÓRIO DE GESTÃO DA EDUCAÇÃO BÁSICA DO ESPÍRITO SANTO – UFES</w:t>
      </w:r>
    </w:p>
    <w:p w14:paraId="4EB39756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MOVIMENTO NACIONAL EM DEFESA DO ENSINO MÉDIO</w:t>
      </w:r>
    </w:p>
    <w:p w14:paraId="5AC1A1BF" w14:textId="77777777" w:rsidR="008C2EDB" w:rsidRPr="00F4338D" w:rsidRDefault="008C2EDB" w:rsidP="005943C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NEDDATE - NÚCLEO DE ESTUDOS, DOCUMENTAÇÃO E DADOS TRABALHO E EDUCAÇÃO - UFF</w:t>
      </w:r>
    </w:p>
    <w:p w14:paraId="5166FE9E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NETE - NÚCLEO DE ESTUDOS TRABALHO E EDUCAÇÃO - UFMG</w:t>
      </w:r>
    </w:p>
    <w:p w14:paraId="7742D241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NÚCLEO DE PESQUISA EM EDUCAÇÃO - NUPED/IFRN</w:t>
      </w:r>
    </w:p>
    <w:p w14:paraId="5989062A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OBSERVATÓRIO DO ENSINO MÉDIO - UFPR</w:t>
      </w:r>
    </w:p>
    <w:p w14:paraId="78BE7184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338D">
        <w:rPr>
          <w:rFonts w:ascii="Arial" w:hAnsi="Arial" w:cs="Arial"/>
          <w:b/>
          <w:bCs/>
          <w:sz w:val="24"/>
          <w:szCs w:val="24"/>
        </w:rPr>
        <w:t>PPGE-IFC: PROGRAMA DE PÓS-GRADUAÇÃO EM EDUCAÇÃO DO INSTITUTO FEDERAL DE EDUCAÇÃO, CIÊNCIA E TECNOLOGIA CATARINENSE</w:t>
      </w:r>
    </w:p>
    <w:p w14:paraId="3D15C340" w14:textId="77777777" w:rsidR="008C2EDB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PROGRAMA DE PÓS GRADUAÇÃO EM EDUCAÇÃO E CULTURA – PPGEDUC-UFPA</w:t>
      </w:r>
    </w:p>
    <w:p w14:paraId="06F0301E" w14:textId="77777777" w:rsidR="008C2EDB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PROGRAMA DE PÓS-GRADAUÇÃO EM EDUCAÇÃO PROFISSIONAL E TECNOLÓGICA </w:t>
      </w:r>
      <w:r w:rsidRPr="00F4338D" w:rsidDel="0054423A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–</w:t>
      </w: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 xml:space="preserve"> PROFEPT</w:t>
      </w:r>
    </w:p>
    <w:p w14:paraId="47729569" w14:textId="77777777" w:rsidR="008C2EDB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PROGRAMA DE PÓS-GRADUAÇÃO EM EDUCAÇÃO PROFISSIONAL - PPGEP/IFRN</w:t>
      </w:r>
    </w:p>
    <w:p w14:paraId="11DAC4EC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REDE NACIONAL EMPESQUISA</w:t>
      </w:r>
    </w:p>
    <w:p w14:paraId="10C15B2B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REDEEPT – REDE DE ENSINO, PESQUISA E EXTENSÃO DA EDUCAÇÃO PROFIIONAL E TECNOLÓGICA DA BAHIA</w:t>
      </w:r>
    </w:p>
    <w:p w14:paraId="64D33465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REPU - REDE ESCOLA PÚBLICA E UNIVERSIDADE</w:t>
      </w:r>
    </w:p>
    <w:p w14:paraId="158DF43D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hAnsi="Arial" w:cs="Arial"/>
          <w:b/>
          <w:bCs/>
          <w:sz w:val="24"/>
          <w:szCs w:val="24"/>
        </w:rPr>
        <w:t>SBEM – SOCIEDADE BRASILEIRA DE EDUCAÇÃO MATEMÁTICA</w:t>
      </w:r>
    </w:p>
    <w:p w14:paraId="01DF9112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SBENQ - SOCIEDADE BRASILEIRA DE ENSINO DE QUÍMICA</w:t>
      </w:r>
    </w:p>
    <w:p w14:paraId="78CD08E5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SINASEFE - SINDICATO NACIONAL DOS SERVIDORES FEDERAIS DA EDUCAÇÃO BÁSICA, PROFISSIONAL E TECNOLÓGICA</w:t>
      </w:r>
    </w:p>
    <w:p w14:paraId="6CDB4395" w14:textId="77777777" w:rsidR="008C2EDB" w:rsidRPr="00F4338D" w:rsidRDefault="008C2EDB" w:rsidP="005943C3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  <w:t>SINDIEDUTEC - SINDICATO DOS TRABALHADORES DA EDUCAÇÃO BÁSICA, TÉCNICA E TECNOLÓGICA DO PARANÁ</w:t>
      </w:r>
    </w:p>
    <w:p w14:paraId="32BCAEC7" w14:textId="77777777" w:rsidR="008C2EDB" w:rsidRPr="00F4338D" w:rsidRDefault="008C2EDB" w:rsidP="005943C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F433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SINDSERJ - SINDICATO DOS SOCIÓLOGOS DO RIO DE JANEIRO</w:t>
      </w:r>
    </w:p>
    <w:p w14:paraId="7E8C29DA" w14:textId="5AECCD61" w:rsidR="00562E0B" w:rsidRPr="00F4338D" w:rsidRDefault="00562E0B" w:rsidP="00F4338D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pt-BR" w:eastAsia="pt-BR"/>
        </w:rPr>
      </w:pPr>
    </w:p>
    <w:sectPr w:rsidR="00562E0B" w:rsidRPr="00F4338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58851" w14:textId="77777777" w:rsidR="00EA32F3" w:rsidRDefault="00EA32F3" w:rsidP="00AC087F">
      <w:pPr>
        <w:spacing w:after="0" w:line="240" w:lineRule="auto"/>
      </w:pPr>
      <w:r>
        <w:separator/>
      </w:r>
    </w:p>
  </w:endnote>
  <w:endnote w:type="continuationSeparator" w:id="0">
    <w:p w14:paraId="756F14DA" w14:textId="77777777" w:rsidR="00EA32F3" w:rsidRDefault="00EA32F3" w:rsidP="00AC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3F80" w14:textId="77777777" w:rsidR="00EA32F3" w:rsidRDefault="00EA32F3" w:rsidP="00AC087F">
      <w:pPr>
        <w:spacing w:after="0" w:line="240" w:lineRule="auto"/>
      </w:pPr>
      <w:r>
        <w:separator/>
      </w:r>
    </w:p>
  </w:footnote>
  <w:footnote w:type="continuationSeparator" w:id="0">
    <w:p w14:paraId="50CA13FF" w14:textId="77777777" w:rsidR="00EA32F3" w:rsidRDefault="00EA32F3" w:rsidP="00AC087F">
      <w:pPr>
        <w:spacing w:after="0" w:line="240" w:lineRule="auto"/>
      </w:pPr>
      <w:r>
        <w:continuationSeparator/>
      </w:r>
    </w:p>
  </w:footnote>
  <w:footnote w:id="1">
    <w:p w14:paraId="39610FF4" w14:textId="275FF016" w:rsidR="00107D55" w:rsidRPr="00CA257F" w:rsidRDefault="00107D55" w:rsidP="00107D5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CA7147">
        <w:rPr>
          <w:rFonts w:ascii="Arial" w:hAnsi="Arial" w:cs="Arial"/>
          <w:color w:val="000000"/>
          <w:lang w:val="pt-BR"/>
        </w:rPr>
        <w:t>Educação Profissional Técnica de Nível Médio</w:t>
      </w:r>
      <w:r w:rsidR="00367C05">
        <w:rPr>
          <w:rFonts w:ascii="Arial" w:hAnsi="Arial" w:cs="Arial"/>
          <w:color w:val="000000"/>
          <w:lang w:val="pt-BR"/>
        </w:rPr>
        <w:t>.</w:t>
      </w:r>
    </w:p>
  </w:footnote>
  <w:footnote w:id="2">
    <w:p w14:paraId="574C65DC" w14:textId="0930DDE5" w:rsidR="00CA7147" w:rsidRPr="00CA7147" w:rsidRDefault="00CA7147" w:rsidP="00CA7147">
      <w:pPr>
        <w:spacing w:line="288" w:lineRule="auto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730FAD">
        <w:rPr>
          <w:rFonts w:ascii="Arial" w:hAnsi="Arial" w:cs="Arial"/>
          <w:lang w:val="pt-BR"/>
        </w:rPr>
        <w:t xml:space="preserve">Tosel, A. Vers l´école désémancipatrice. La Pensée, n. 318, abril-jun 1999, op. cit. Laval, C. </w:t>
      </w:r>
      <w:r w:rsidRPr="00730FAD">
        <w:rPr>
          <w:rFonts w:ascii="Arial" w:hAnsi="Arial" w:cs="Arial"/>
          <w:i/>
          <w:iCs/>
          <w:lang w:val="pt-BR"/>
        </w:rPr>
        <w:t>A escola não é uma empresa</w:t>
      </w:r>
      <w:r w:rsidRPr="00730FAD">
        <w:rPr>
          <w:rFonts w:ascii="Arial" w:hAnsi="Arial" w:cs="Arial"/>
          <w:lang w:val="pt-BR"/>
        </w:rPr>
        <w:t>, Londrina: Ed. Plana, 2004, p.42.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83428"/>
    <w:multiLevelType w:val="hybridMultilevel"/>
    <w:tmpl w:val="361403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A771F3"/>
    <w:rsid w:val="00073675"/>
    <w:rsid w:val="00073E1D"/>
    <w:rsid w:val="000A1676"/>
    <w:rsid w:val="000C331D"/>
    <w:rsid w:val="000E3DBF"/>
    <w:rsid w:val="00107D55"/>
    <w:rsid w:val="00120F0C"/>
    <w:rsid w:val="00122377"/>
    <w:rsid w:val="001404DB"/>
    <w:rsid w:val="00161698"/>
    <w:rsid w:val="001B4E59"/>
    <w:rsid w:val="001D0F25"/>
    <w:rsid w:val="001D3B82"/>
    <w:rsid w:val="001D5ADE"/>
    <w:rsid w:val="002071BD"/>
    <w:rsid w:val="002540C0"/>
    <w:rsid w:val="00295895"/>
    <w:rsid w:val="002B1B4C"/>
    <w:rsid w:val="002C133A"/>
    <w:rsid w:val="002C5B21"/>
    <w:rsid w:val="002D4F02"/>
    <w:rsid w:val="002D54D0"/>
    <w:rsid w:val="0033373A"/>
    <w:rsid w:val="003667A0"/>
    <w:rsid w:val="00367C05"/>
    <w:rsid w:val="0038108D"/>
    <w:rsid w:val="0038570D"/>
    <w:rsid w:val="00396554"/>
    <w:rsid w:val="003C4FCF"/>
    <w:rsid w:val="003C7A2E"/>
    <w:rsid w:val="003E568F"/>
    <w:rsid w:val="003E6792"/>
    <w:rsid w:val="004028C0"/>
    <w:rsid w:val="004969D0"/>
    <w:rsid w:val="004D1E89"/>
    <w:rsid w:val="00511F50"/>
    <w:rsid w:val="00537339"/>
    <w:rsid w:val="0054423A"/>
    <w:rsid w:val="00562E0B"/>
    <w:rsid w:val="005943C3"/>
    <w:rsid w:val="00596D19"/>
    <w:rsid w:val="005B06E6"/>
    <w:rsid w:val="005C0B50"/>
    <w:rsid w:val="005D46F4"/>
    <w:rsid w:val="00667612"/>
    <w:rsid w:val="006736DB"/>
    <w:rsid w:val="006B3C2B"/>
    <w:rsid w:val="006D7C4C"/>
    <w:rsid w:val="00730FAD"/>
    <w:rsid w:val="007920E9"/>
    <w:rsid w:val="007D05AD"/>
    <w:rsid w:val="007D1D3A"/>
    <w:rsid w:val="00805050"/>
    <w:rsid w:val="00877825"/>
    <w:rsid w:val="008C2EDB"/>
    <w:rsid w:val="008D32A1"/>
    <w:rsid w:val="00935AE5"/>
    <w:rsid w:val="009568B4"/>
    <w:rsid w:val="00975D58"/>
    <w:rsid w:val="009B42D2"/>
    <w:rsid w:val="009D54B9"/>
    <w:rsid w:val="009E2E8A"/>
    <w:rsid w:val="00A51104"/>
    <w:rsid w:val="00A67259"/>
    <w:rsid w:val="00A70C78"/>
    <w:rsid w:val="00A943E3"/>
    <w:rsid w:val="00AA1F93"/>
    <w:rsid w:val="00AB24FC"/>
    <w:rsid w:val="00AC087F"/>
    <w:rsid w:val="00B01E50"/>
    <w:rsid w:val="00B307D7"/>
    <w:rsid w:val="00B54295"/>
    <w:rsid w:val="00B61653"/>
    <w:rsid w:val="00B62B31"/>
    <w:rsid w:val="00B656C0"/>
    <w:rsid w:val="00B823BB"/>
    <w:rsid w:val="00BC7C9F"/>
    <w:rsid w:val="00BF084B"/>
    <w:rsid w:val="00BF3C7A"/>
    <w:rsid w:val="00C33183"/>
    <w:rsid w:val="00C50E48"/>
    <w:rsid w:val="00CA257F"/>
    <w:rsid w:val="00CA7147"/>
    <w:rsid w:val="00D114BD"/>
    <w:rsid w:val="00D53323"/>
    <w:rsid w:val="00D70376"/>
    <w:rsid w:val="00E16F46"/>
    <w:rsid w:val="00EA32F3"/>
    <w:rsid w:val="00EB44FF"/>
    <w:rsid w:val="00EC5E84"/>
    <w:rsid w:val="00EC7AEC"/>
    <w:rsid w:val="00F06B89"/>
    <w:rsid w:val="00F21666"/>
    <w:rsid w:val="00F243D2"/>
    <w:rsid w:val="00F4338D"/>
    <w:rsid w:val="00F84313"/>
    <w:rsid w:val="00F84E8C"/>
    <w:rsid w:val="00FB2498"/>
    <w:rsid w:val="00FB74D8"/>
    <w:rsid w:val="00FC533E"/>
    <w:rsid w:val="041E0142"/>
    <w:rsid w:val="10407E82"/>
    <w:rsid w:val="10A771F3"/>
    <w:rsid w:val="12094134"/>
    <w:rsid w:val="1BBD543A"/>
    <w:rsid w:val="1F085707"/>
    <w:rsid w:val="27D76CF7"/>
    <w:rsid w:val="2E840668"/>
    <w:rsid w:val="2E877A91"/>
    <w:rsid w:val="42030BBA"/>
    <w:rsid w:val="5515143B"/>
    <w:rsid w:val="5FA0709C"/>
    <w:rsid w:val="7C3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43060"/>
  <w15:docId w15:val="{BA2F5379-3EF2-42CD-9A45-5B9BD19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2">
    <w:name w:val="heading 2"/>
    <w:basedOn w:val="Normal"/>
    <w:link w:val="Ttulo2Char"/>
    <w:uiPriority w:val="9"/>
    <w:qFormat/>
    <w:rsid w:val="001D5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</w:style>
  <w:style w:type="paragraph" w:styleId="NormalWeb">
    <w:name w:val="Normal (Web)"/>
    <w:pPr>
      <w:spacing w:beforeAutospacing="1" w:after="0" w:afterAutospacing="1"/>
    </w:pPr>
    <w:rPr>
      <w:szCs w:val="24"/>
      <w:lang w:val="en-US" w:eastAsia="zh-CN"/>
    </w:rPr>
  </w:style>
  <w:style w:type="paragraph" w:styleId="PargrafodaLista">
    <w:name w:val="List Paragraph"/>
    <w:basedOn w:val="Normal"/>
    <w:uiPriority w:val="99"/>
    <w:pPr>
      <w:ind w:left="720"/>
      <w:contextualSpacing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balo">
    <w:name w:val="Balloon Text"/>
    <w:basedOn w:val="Normal"/>
    <w:link w:val="TextodebaloChar"/>
    <w:semiHidden/>
    <w:unhideWhenUsed/>
    <w:rsid w:val="00B82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3BB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Cabealho">
    <w:name w:val="header"/>
    <w:basedOn w:val="Normal"/>
    <w:link w:val="CabealhoChar"/>
    <w:rsid w:val="00AC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C087F"/>
    <w:rPr>
      <w:rFonts w:asciiTheme="minorHAnsi" w:eastAsiaTheme="minorEastAsia" w:hAnsiTheme="minorHAnsi" w:cstheme="minorBidi"/>
      <w:lang w:val="en-US" w:eastAsia="zh-CN"/>
    </w:rPr>
  </w:style>
  <w:style w:type="paragraph" w:styleId="Rodap">
    <w:name w:val="footer"/>
    <w:basedOn w:val="Normal"/>
    <w:link w:val="RodapChar"/>
    <w:rsid w:val="00AC08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AC087F"/>
    <w:rPr>
      <w:rFonts w:asciiTheme="minorHAnsi" w:eastAsiaTheme="minorEastAsia" w:hAnsiTheme="minorHAnsi" w:cstheme="minorBidi"/>
      <w:lang w:val="en-US" w:eastAsia="zh-CN"/>
    </w:rPr>
  </w:style>
  <w:style w:type="paragraph" w:styleId="Textodenotaderodap">
    <w:name w:val="footnote text"/>
    <w:basedOn w:val="Normal"/>
    <w:link w:val="TextodenotaderodapChar"/>
    <w:rsid w:val="00CA7147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rsid w:val="00CA7147"/>
    <w:rPr>
      <w:rFonts w:asciiTheme="minorHAnsi" w:eastAsiaTheme="minorEastAsia" w:hAnsiTheme="minorHAnsi" w:cstheme="minorBidi"/>
      <w:lang w:val="en-US" w:eastAsia="zh-CN"/>
    </w:rPr>
  </w:style>
  <w:style w:type="character" w:styleId="Refdenotaderodap">
    <w:name w:val="footnote reference"/>
    <w:basedOn w:val="Fontepargpadro"/>
    <w:rsid w:val="00CA7147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rsid w:val="001D5ADE"/>
    <w:rPr>
      <w:rFonts w:eastAsia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1D5A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35AE5"/>
    <w:rPr>
      <w:b/>
      <w:bCs/>
    </w:rPr>
  </w:style>
  <w:style w:type="character" w:styleId="nfase">
    <w:name w:val="Emphasis"/>
    <w:basedOn w:val="Fontepargpadro"/>
    <w:uiPriority w:val="20"/>
    <w:qFormat/>
    <w:rsid w:val="00E16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campanha.org.br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BAD69-14F2-42A1-8C28-B3A4BED0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3316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dante.moura</dc:creator>
  <cp:lastModifiedBy>User</cp:lastModifiedBy>
  <cp:revision>6</cp:revision>
  <cp:lastPrinted>2021-01-18T12:51:00Z</cp:lastPrinted>
  <dcterms:created xsi:type="dcterms:W3CDTF">2021-02-01T16:12:00Z</dcterms:created>
  <dcterms:modified xsi:type="dcterms:W3CDTF">2021-02-01T16:40:00Z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